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32632">
        <w:rPr>
          <w:rFonts w:ascii="Times New Roman" w:hAnsi="Times New Roman" w:cs="Times New Roman"/>
          <w:b/>
          <w:bCs/>
        </w:rPr>
        <w:t>UCHWAŁA Nr XXXVIII.</w:t>
      </w:r>
      <w:r w:rsidR="00037C6F">
        <w:rPr>
          <w:rFonts w:ascii="Times New Roman" w:hAnsi="Times New Roman" w:cs="Times New Roman"/>
          <w:b/>
          <w:bCs/>
        </w:rPr>
        <w:t>393</w:t>
      </w:r>
      <w:r w:rsidRPr="00032632">
        <w:rPr>
          <w:rFonts w:ascii="Times New Roman" w:hAnsi="Times New Roman" w:cs="Times New Roman"/>
          <w:b/>
          <w:bCs/>
        </w:rPr>
        <w:t>.2018</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32632">
        <w:rPr>
          <w:rFonts w:ascii="Times New Roman" w:hAnsi="Times New Roman" w:cs="Times New Roman"/>
          <w:b/>
          <w:bCs/>
        </w:rPr>
        <w:t>RADY GMINY ZŁOTÓW</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32632">
        <w:rPr>
          <w:rFonts w:ascii="Times New Roman" w:hAnsi="Times New Roman" w:cs="Times New Roman"/>
          <w:b/>
          <w:bCs/>
        </w:rPr>
        <w:t>z dnia 25 stycznia</w:t>
      </w:r>
      <w:r>
        <w:rPr>
          <w:rFonts w:ascii="Times New Roman" w:hAnsi="Times New Roman" w:cs="Times New Roman"/>
          <w:b/>
          <w:bCs/>
        </w:rPr>
        <w:t xml:space="preserve"> </w:t>
      </w:r>
      <w:r w:rsidRPr="00032632">
        <w:rPr>
          <w:rFonts w:ascii="Times New Roman" w:hAnsi="Times New Roman" w:cs="Times New Roman"/>
          <w:b/>
          <w:bCs/>
        </w:rPr>
        <w:t xml:space="preserve">2018 r. </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32632">
        <w:rPr>
          <w:rFonts w:ascii="Times New Roman" w:hAnsi="Times New Roman" w:cs="Times New Roman"/>
          <w:b/>
          <w:bCs/>
        </w:rPr>
        <w:t xml:space="preserve">w sprawie wprowadzenia zmian do uchwały w sprawie uchwalenia </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032632">
        <w:rPr>
          <w:rFonts w:ascii="Times New Roman" w:hAnsi="Times New Roman" w:cs="Times New Roman"/>
          <w:b/>
          <w:bCs/>
        </w:rPr>
        <w:t xml:space="preserve">Wieloletniej Prognozy Finansowej Gminy Złotów </w:t>
      </w:r>
      <w:r w:rsidRPr="00032632">
        <w:rPr>
          <w:rFonts w:ascii="Times New Roman" w:hAnsi="Times New Roman" w:cs="Times New Roman"/>
          <w:b/>
          <w:bCs/>
        </w:rPr>
        <w:br/>
        <w:t>na lata 2018-2026</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rPr>
        <w:tab/>
        <w:t xml:space="preserve">Na podstawie art. 18 ust. 2 pkt 15 ustawy z dnia 8 marca 1990 r. o samorządzie gminnym </w:t>
      </w:r>
      <w:r w:rsidRPr="00032632">
        <w:rPr>
          <w:rFonts w:ascii="Times New Roman" w:hAnsi="Times New Roman" w:cs="Times New Roman"/>
        </w:rPr>
        <w:br/>
        <w:t xml:space="preserve">(Dz. U. z 2017 r. poz. 1875 i 2232) oraz art. 226, 227, 228, 230 ust. 6 ustawy z dnia 27 sierpnia </w:t>
      </w:r>
      <w:r w:rsidRPr="00032632">
        <w:rPr>
          <w:rFonts w:ascii="Times New Roman" w:hAnsi="Times New Roman" w:cs="Times New Roman"/>
        </w:rPr>
        <w:br/>
        <w:t xml:space="preserve">2009 </w:t>
      </w:r>
      <w:proofErr w:type="spellStart"/>
      <w:r w:rsidRPr="00032632">
        <w:rPr>
          <w:rFonts w:ascii="Times New Roman" w:hAnsi="Times New Roman" w:cs="Times New Roman"/>
        </w:rPr>
        <w:t>r.o</w:t>
      </w:r>
      <w:proofErr w:type="spellEnd"/>
      <w:r w:rsidRPr="00032632">
        <w:rPr>
          <w:rFonts w:ascii="Times New Roman" w:hAnsi="Times New Roman" w:cs="Times New Roman"/>
        </w:rPr>
        <w:t xml:space="preserve"> finansach publicznych (Dz. U. z 2017 r. poz. 2077) Rada Gminy Złotów uchwala, </w:t>
      </w:r>
      <w:r w:rsidRPr="00032632">
        <w:rPr>
          <w:rFonts w:ascii="Times New Roman" w:hAnsi="Times New Roman" w:cs="Times New Roman"/>
        </w:rPr>
        <w:br/>
        <w:t>co następuje:</w:t>
      </w:r>
    </w:p>
    <w:p w:rsidR="00032632" w:rsidRPr="00032632"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b/>
          <w:bCs/>
        </w:rPr>
      </w:pPr>
    </w:p>
    <w:p w:rsidR="00032632" w:rsidRPr="00032632"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rPr>
        <w:t>W uchwale Nr XXXVII.386.2017 Rady Gminy Złotów z dnia 28 grudnia 2017 r. w sprawie uchwalenia Wieloletniej Prognozy Finansowej na lata 2018-2026, wprowadza się zmiany:</w:t>
      </w:r>
    </w:p>
    <w:p w:rsidR="00032632" w:rsidRPr="00032632"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p>
    <w:p w:rsidR="00032632" w:rsidRPr="00032632" w:rsidRDefault="00032632" w:rsidP="00032632">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1.</w:t>
      </w:r>
      <w:r w:rsidRPr="00032632">
        <w:rPr>
          <w:rFonts w:ascii="Times New Roman" w:hAnsi="Times New Roman" w:cs="Times New Roman"/>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2. </w:t>
      </w:r>
      <w:r w:rsidRPr="00032632">
        <w:rPr>
          <w:rFonts w:ascii="Times New Roman" w:hAnsi="Times New Roman" w:cs="Times New Roman"/>
        </w:rPr>
        <w:t>Załącznik Nr 2 do uchwały, stanowiący wykaz wieloletnich przedsięwzięć finansowych otrzymuje brzmienie, zgodnie z załącznikiem Nr 2 do niniejszej uchwały.</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3. </w:t>
      </w:r>
      <w:r w:rsidRPr="00032632">
        <w:rPr>
          <w:rFonts w:ascii="Times New Roman" w:hAnsi="Times New Roman" w:cs="Times New Roman"/>
        </w:rPr>
        <w:t xml:space="preserve">Wykonanie uchwały powierza się Wójtowi Gminy Złotów. </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032632">
        <w:rPr>
          <w:rFonts w:ascii="Times New Roman" w:hAnsi="Times New Roman" w:cs="Times New Roman"/>
          <w:b/>
          <w:bCs/>
        </w:rPr>
        <w:t xml:space="preserve">     § 4.</w:t>
      </w:r>
      <w:r w:rsidRPr="00032632">
        <w:rPr>
          <w:rFonts w:ascii="Times New Roman" w:hAnsi="Times New Roman" w:cs="Times New Roman"/>
        </w:rPr>
        <w:t xml:space="preserve"> Uchwała wchodzi w życie z dniem podjęcia.</w:t>
      </w:r>
    </w:p>
    <w:p w:rsidR="00032632" w:rsidRPr="00032632" w:rsidRDefault="00032632" w:rsidP="000326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rsidR="00D65641" w:rsidRPr="00B97ED9" w:rsidRDefault="00D65641" w:rsidP="00B97E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sectPr w:rsidR="00D65641" w:rsidRPr="00B97ED9"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305EA7" w:rsidRDefault="000036DD" w:rsidP="00980965">
      <w:pPr>
        <w:spacing w:after="0" w:line="240" w:lineRule="auto"/>
        <w:jc w:val="both"/>
        <w:rPr>
          <w:rFonts w:ascii="Times New Roman" w:eastAsiaTheme="minorHAnsi" w:hAnsi="Times New Roman" w:cs="Times New Roman"/>
          <w:b/>
          <w:lang w:eastAsia="en-US"/>
        </w:rPr>
      </w:pPr>
      <w:r w:rsidRPr="000036DD">
        <w:rPr>
          <w:rFonts w:ascii="Times New Roman" w:eastAsiaTheme="minorHAnsi" w:hAnsi="Times New Roman" w:cs="Times New Roman"/>
          <w:b/>
          <w:lang w:eastAsia="en-US"/>
        </w:rPr>
        <w:t xml:space="preserve">Załącznik Nr 1 do uchwały Nr  </w:t>
      </w:r>
      <w:r w:rsidR="002E6F98">
        <w:rPr>
          <w:rFonts w:ascii="Times New Roman" w:eastAsiaTheme="minorHAnsi" w:hAnsi="Times New Roman" w:cs="Times New Roman"/>
          <w:b/>
          <w:lang w:eastAsia="en-US"/>
        </w:rPr>
        <w:t>XXXVI</w:t>
      </w:r>
      <w:r w:rsidR="00032632">
        <w:rPr>
          <w:rFonts w:ascii="Times New Roman" w:eastAsiaTheme="minorHAnsi" w:hAnsi="Times New Roman" w:cs="Times New Roman"/>
          <w:b/>
          <w:lang w:eastAsia="en-US"/>
        </w:rPr>
        <w:t>I</w:t>
      </w:r>
      <w:r w:rsidR="002E6F98">
        <w:rPr>
          <w:rFonts w:ascii="Times New Roman" w:eastAsiaTheme="minorHAnsi" w:hAnsi="Times New Roman" w:cs="Times New Roman"/>
          <w:b/>
          <w:lang w:eastAsia="en-US"/>
        </w:rPr>
        <w:t>I.</w:t>
      </w:r>
      <w:r w:rsidR="00037C6F">
        <w:rPr>
          <w:rFonts w:ascii="Times New Roman" w:eastAsiaTheme="minorHAnsi" w:hAnsi="Times New Roman" w:cs="Times New Roman"/>
          <w:b/>
          <w:lang w:eastAsia="en-US"/>
        </w:rPr>
        <w:t>393</w:t>
      </w:r>
      <w:r w:rsidR="002E6F98">
        <w:rPr>
          <w:rFonts w:ascii="Times New Roman" w:eastAsiaTheme="minorHAnsi" w:hAnsi="Times New Roman" w:cs="Times New Roman"/>
          <w:b/>
          <w:lang w:eastAsia="en-US"/>
        </w:rPr>
        <w:t>.</w:t>
      </w:r>
      <w:r w:rsidRPr="000036DD">
        <w:rPr>
          <w:rFonts w:ascii="Times New Roman" w:eastAsiaTheme="minorHAnsi" w:hAnsi="Times New Roman" w:cs="Times New Roman"/>
          <w:b/>
          <w:lang w:eastAsia="en-US"/>
        </w:rPr>
        <w:t>201</w:t>
      </w:r>
      <w:r w:rsidR="008C40FA">
        <w:rPr>
          <w:rFonts w:ascii="Times New Roman" w:eastAsiaTheme="minorHAnsi" w:hAnsi="Times New Roman" w:cs="Times New Roman"/>
          <w:b/>
          <w:lang w:eastAsia="en-US"/>
        </w:rPr>
        <w:t>8</w:t>
      </w:r>
      <w:r w:rsidRPr="000036DD">
        <w:rPr>
          <w:rFonts w:ascii="Times New Roman" w:eastAsiaTheme="minorHAnsi" w:hAnsi="Times New Roman" w:cs="Times New Roman"/>
          <w:b/>
          <w:lang w:eastAsia="en-US"/>
        </w:rPr>
        <w:t xml:space="preserve">  Rady Gminy Złotów z dnia </w:t>
      </w:r>
      <w:r w:rsidR="002E6F98">
        <w:rPr>
          <w:rFonts w:ascii="Times New Roman" w:eastAsiaTheme="minorHAnsi" w:hAnsi="Times New Roman" w:cs="Times New Roman"/>
          <w:b/>
          <w:lang w:eastAsia="en-US"/>
        </w:rPr>
        <w:t>2</w:t>
      </w:r>
      <w:r w:rsidR="00032632">
        <w:rPr>
          <w:rFonts w:ascii="Times New Roman" w:eastAsiaTheme="minorHAnsi" w:hAnsi="Times New Roman" w:cs="Times New Roman"/>
          <w:b/>
          <w:lang w:eastAsia="en-US"/>
        </w:rPr>
        <w:t xml:space="preserve">5 stycznia </w:t>
      </w:r>
      <w:r w:rsidRPr="000036DD">
        <w:rPr>
          <w:rFonts w:ascii="Times New Roman" w:eastAsiaTheme="minorHAnsi" w:hAnsi="Times New Roman" w:cs="Times New Roman"/>
          <w:b/>
          <w:lang w:eastAsia="en-US"/>
        </w:rPr>
        <w:t>201</w:t>
      </w:r>
      <w:r w:rsidR="00032632">
        <w:rPr>
          <w:rFonts w:ascii="Times New Roman" w:eastAsiaTheme="minorHAnsi" w:hAnsi="Times New Roman" w:cs="Times New Roman"/>
          <w:b/>
          <w:lang w:eastAsia="en-US"/>
        </w:rPr>
        <w:t>8</w:t>
      </w:r>
      <w:r w:rsidRPr="000036DD">
        <w:rPr>
          <w:rFonts w:ascii="Times New Roman" w:eastAsiaTheme="minorHAnsi" w:hAnsi="Times New Roman" w:cs="Times New Roman"/>
          <w:b/>
          <w:lang w:eastAsia="en-US"/>
        </w:rPr>
        <w:t xml:space="preserve"> r. w sprawie </w:t>
      </w:r>
      <w:r w:rsidR="00032632">
        <w:rPr>
          <w:rFonts w:ascii="Times New Roman" w:eastAsiaTheme="minorHAnsi" w:hAnsi="Times New Roman" w:cs="Times New Roman"/>
          <w:b/>
          <w:lang w:eastAsia="en-US"/>
        </w:rPr>
        <w:t xml:space="preserve">wprowadzenia zmian do uchwały w sprawie </w:t>
      </w:r>
      <w:r w:rsidRPr="000036DD">
        <w:rPr>
          <w:rFonts w:ascii="Times New Roman" w:eastAsiaTheme="minorHAnsi" w:hAnsi="Times New Roman" w:cs="Times New Roman"/>
          <w:b/>
          <w:lang w:eastAsia="en-US"/>
        </w:rPr>
        <w:t>uchwalenia Wieloletniej Prognozy Finansowej Gminy Złotów na lata 201</w:t>
      </w:r>
      <w:r w:rsidR="001E7113">
        <w:rPr>
          <w:rFonts w:ascii="Times New Roman" w:eastAsiaTheme="minorHAnsi" w:hAnsi="Times New Roman" w:cs="Times New Roman"/>
          <w:b/>
          <w:lang w:eastAsia="en-US"/>
        </w:rPr>
        <w:t>8</w:t>
      </w:r>
      <w:r w:rsidRPr="000036DD">
        <w:rPr>
          <w:rFonts w:ascii="Times New Roman" w:eastAsiaTheme="minorHAnsi" w:hAnsi="Times New Roman" w:cs="Times New Roman"/>
          <w:b/>
          <w:lang w:eastAsia="en-US"/>
        </w:rPr>
        <w:t xml:space="preserve"> - 2026.</w:t>
      </w:r>
    </w:p>
    <w:tbl>
      <w:tblPr>
        <w:tblW w:w="14691" w:type="dxa"/>
        <w:jc w:val="center"/>
        <w:tblCellMar>
          <w:left w:w="70" w:type="dxa"/>
          <w:right w:w="70" w:type="dxa"/>
        </w:tblCellMar>
        <w:tblLook w:val="04A0" w:firstRow="1" w:lastRow="0" w:firstColumn="1" w:lastColumn="0" w:noHBand="0" w:noVBand="1"/>
      </w:tblPr>
      <w:tblGrid>
        <w:gridCol w:w="1263"/>
        <w:gridCol w:w="1074"/>
        <w:gridCol w:w="1061"/>
        <w:gridCol w:w="1168"/>
        <w:gridCol w:w="1155"/>
        <w:gridCol w:w="1174"/>
        <w:gridCol w:w="1276"/>
        <w:gridCol w:w="1265"/>
        <w:gridCol w:w="1152"/>
        <w:gridCol w:w="1415"/>
        <w:gridCol w:w="1368"/>
        <w:gridCol w:w="1320"/>
      </w:tblGrid>
      <w:tr w:rsidR="00EF40D9" w:rsidRPr="00EF40D9" w:rsidTr="00EF40D9">
        <w:trPr>
          <w:trHeight w:val="255"/>
          <w:jc w:val="center"/>
        </w:trPr>
        <w:tc>
          <w:tcPr>
            <w:tcW w:w="12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Dochody ogółem </w:t>
            </w:r>
          </w:p>
        </w:tc>
        <w:tc>
          <w:tcPr>
            <w:tcW w:w="12354" w:type="dxa"/>
            <w:gridSpan w:val="10"/>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bieżące</w:t>
            </w:r>
          </w:p>
        </w:tc>
        <w:tc>
          <w:tcPr>
            <w:tcW w:w="7190"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41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majątkowe</w:t>
            </w:r>
          </w:p>
        </w:tc>
        <w:tc>
          <w:tcPr>
            <w:tcW w:w="268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5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fizycznych</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dochody z tytułu udziału we wpływach z podatku dochodowego od osób prawnych</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podatki i opłaty</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subwencji ogólnej</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tytułu dotacji i środków przeznaczonych na cele bieżące</w:t>
            </w:r>
          </w:p>
        </w:tc>
        <w:tc>
          <w:tcPr>
            <w:tcW w:w="1415" w:type="dxa"/>
            <w:vMerge/>
            <w:tcBorders>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c>
          <w:tcPr>
            <w:tcW w:w="136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ze sprzedaży majątku</w:t>
            </w:r>
          </w:p>
        </w:tc>
        <w:tc>
          <w:tcPr>
            <w:tcW w:w="1320" w:type="dxa"/>
            <w:vMerge w:val="restart"/>
            <w:tcBorders>
              <w:top w:val="single" w:sz="4" w:space="0" w:color="000000"/>
              <w:left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dotacji oraz środków przeznaczonych na inwestycje</w:t>
            </w:r>
          </w:p>
        </w:tc>
      </w:tr>
      <w:tr w:rsidR="00EF40D9" w:rsidRPr="00EF40D9" w:rsidTr="00EF40D9">
        <w:trPr>
          <w:trHeight w:val="1785"/>
          <w:jc w:val="center"/>
        </w:trPr>
        <w:tc>
          <w:tcPr>
            <w:tcW w:w="126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1"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z podatku od nieruchomości</w:t>
            </w:r>
          </w:p>
        </w:tc>
        <w:tc>
          <w:tcPr>
            <w:tcW w:w="12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1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68"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320" w:type="dxa"/>
            <w:vMerge/>
            <w:tcBorders>
              <w:left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1.1.1</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1.1.2</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1.1.3.1</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1.1.4</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1.1.5</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1.2.1</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Times New Roman" w:eastAsia="Times New Roman" w:hAnsi="Times New Roman" w:cs="Times New Roman"/>
                <w:sz w:val="14"/>
                <w:szCs w:val="14"/>
              </w:rPr>
              <w:t>1.2.2</w:t>
            </w:r>
          </w:p>
        </w:tc>
      </w:tr>
      <w:tr w:rsidR="00EF40D9" w:rsidRPr="00EF40D9" w:rsidTr="00EF40D9">
        <w:trPr>
          <w:trHeight w:val="37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[1.1]+[1.2]</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r w:rsidRPr="00EF40D9">
              <w:rPr>
                <w:rFonts w:ascii="Times New Roman" w:eastAsia="Times New Roman" w:hAnsi="Times New Roman" w:cs="Times New Roman"/>
                <w:sz w:val="24"/>
                <w:szCs w:val="2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center"/>
              <w:rPr>
                <w:rFonts w:ascii="Arial" w:eastAsia="Times New Roman" w:hAnsi="Arial" w:cs="Arial"/>
                <w:color w:val="000000"/>
                <w:sz w:val="14"/>
                <w:szCs w:val="14"/>
              </w:rPr>
            </w:pP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43 361 678,14</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40 051 640,60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3 397 295,00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6 485 338,00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4 186 085,00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14 913 474,00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13 610 834,00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3 310 037,54</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241 716,00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3 068 321,54</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42 790 780,00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41 906 480,00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3 500 000,00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65 000,00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6 493 480,00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4 300 000,00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14 920 000,00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16 022 000,00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884 300,00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644 300,00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42 663 480,00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42 423 480,00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3 750 000,00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66 000,00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6 653 480,00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4 460 000,00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14 980 000,00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16 023 000,00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43 060 480,00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42 820 480,00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3 900 000,00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67 000,00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6 793 480,00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4 600 000,00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15 040 000,00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16 024 000,00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240 000,00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r w:rsidR="00EF40D9" w:rsidRPr="00EF40D9" w:rsidTr="00EF40D9">
        <w:trPr>
          <w:trHeight w:val="255"/>
          <w:jc w:val="center"/>
        </w:trPr>
        <w:tc>
          <w:tcPr>
            <w:tcW w:w="126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0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061"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43 100 000,00</w:t>
            </w:r>
          </w:p>
        </w:tc>
        <w:tc>
          <w:tcPr>
            <w:tcW w:w="11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7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2"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6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r>
              <w:rPr>
                <w:rFonts w:ascii="Arial" w:eastAsia="Times New Roman" w:hAnsi="Arial" w:cs="Arial"/>
                <w:color w:val="000000"/>
                <w:sz w:val="14"/>
                <w:szCs w:val="14"/>
              </w:rPr>
              <w:t xml:space="preserve"> </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Times New Roman" w:eastAsia="Times New Roman" w:hAnsi="Times New Roman" w:cs="Times New Roman"/>
                <w:sz w:val="14"/>
                <w:szCs w:val="14"/>
              </w:rPr>
              <w:t>0,00</w:t>
            </w:r>
          </w:p>
        </w:tc>
      </w:tr>
    </w:tbl>
    <w:p w:rsidR="000036DD" w:rsidRDefault="000036DD" w:rsidP="00305EA7">
      <w:pPr>
        <w:spacing w:after="120" w:line="240" w:lineRule="auto"/>
        <w:jc w:val="both"/>
        <w:rPr>
          <w:rFonts w:ascii="Times New Roman" w:eastAsiaTheme="minorHAnsi" w:hAnsi="Times New Roman" w:cs="Times New Roman"/>
          <w:b/>
          <w:lang w:eastAsia="en-US"/>
        </w:rPr>
      </w:pPr>
    </w:p>
    <w:p w:rsidR="00EF40D9" w:rsidRPr="00EF40D9" w:rsidRDefault="00EF40D9" w:rsidP="00EF40D9">
      <w:pPr>
        <w:rPr>
          <w:rFonts w:eastAsia="Times New Roman"/>
          <w:sz w:val="16"/>
          <w:szCs w:val="16"/>
        </w:rPr>
      </w:pPr>
      <w:r w:rsidRPr="00EF40D9">
        <w:rPr>
          <w:rFonts w:eastAsia="Times New Roman"/>
          <w:sz w:val="16"/>
          <w:szCs w:val="16"/>
        </w:rPr>
        <w:t>1) Wzór może być stosowany także w układzie pionowym, w którym poszczególne pozycje są przedstawione w kolumnach, a lata w wierszach.</w:t>
      </w:r>
    </w:p>
    <w:p w:rsidR="00EF40D9" w:rsidRPr="00EF40D9" w:rsidRDefault="00EF40D9" w:rsidP="00EF40D9">
      <w:pPr>
        <w:rPr>
          <w:rFonts w:eastAsia="Times New Roman"/>
          <w:sz w:val="16"/>
          <w:szCs w:val="16"/>
        </w:rPr>
      </w:pPr>
      <w:r w:rsidRPr="00EF40D9">
        <w:rPr>
          <w:rFonts w:eastAsia="Times New Roman"/>
          <w:sz w:val="16"/>
          <w:szCs w:val="16"/>
        </w:rPr>
        <w:t xml:space="preserve">2) Zgodnie z art. 227 ustawy z dnia 27 sierpnia 2009 r. o finansach publicznych (Dz. U. z 2013 r. poz. 885 z </w:t>
      </w:r>
      <w:proofErr w:type="spellStart"/>
      <w:r w:rsidRPr="00EF40D9">
        <w:rPr>
          <w:rFonts w:eastAsia="Times New Roman"/>
          <w:sz w:val="16"/>
          <w:szCs w:val="16"/>
        </w:rPr>
        <w:t>póź</w:t>
      </w:r>
      <w:proofErr w:type="spellEnd"/>
      <w:r w:rsidRPr="00EF40D9">
        <w:rPr>
          <w:rFonts w:eastAsia="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1E7113" w:rsidRPr="00EF40D9" w:rsidRDefault="00EF40D9" w:rsidP="00EF40D9">
      <w:pPr>
        <w:rPr>
          <w:rFonts w:eastAsia="Times New Roman"/>
          <w:sz w:val="16"/>
          <w:szCs w:val="16"/>
        </w:rPr>
      </w:pPr>
      <w:r w:rsidRPr="00EF40D9">
        <w:rPr>
          <w:rFonts w:eastAsia="Times New Roman"/>
          <w:sz w:val="16"/>
          <w:szCs w:val="16"/>
        </w:rPr>
        <w:t xml:space="preserve">3) W pozycji wykazuje się kwoty wszystkich podatków i opłat pobieranych przez jednostki samorządu terytorialnego, a nie tylko podatków i opłat lokalnych.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EF40D9" w:rsidRPr="00EF40D9" w:rsidTr="00EF40D9">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majątkowe</w:t>
            </w:r>
          </w:p>
        </w:tc>
      </w:tr>
      <w:tr w:rsidR="00EF40D9" w:rsidRPr="00EF40D9" w:rsidTr="00EF40D9">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0"/>
                <w:szCs w:val="10"/>
              </w:rPr>
            </w:pPr>
            <w:r w:rsidRPr="00EF40D9">
              <w:rPr>
                <w:rFonts w:ascii="Arial" w:eastAsia="Times New Roman"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0"/>
                <w:szCs w:val="10"/>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2"/>
                <w:szCs w:val="12"/>
              </w:rPr>
            </w:pPr>
          </w:p>
        </w:tc>
        <w:tc>
          <w:tcPr>
            <w:tcW w:w="1418" w:type="dxa"/>
            <w:vMerge/>
            <w:tcBorders>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bottom w:val="single" w:sz="4" w:space="0" w:color="000000"/>
              <w:right w:val="single" w:sz="4" w:space="0" w:color="000000"/>
            </w:tcBorders>
          </w:tcPr>
          <w:p w:rsidR="00EF40D9" w:rsidRPr="00EF40D9" w:rsidRDefault="00EF40D9" w:rsidP="00EF40D9">
            <w:pPr>
              <w:spacing w:after="0" w:line="240" w:lineRule="auto"/>
              <w:rPr>
                <w:rFonts w:ascii="Times New Roman" w:eastAsia="Times New Roman" w:hAnsi="Times New Roman" w:cs="Times New Roman"/>
                <w:sz w:val="20"/>
                <w:szCs w:val="20"/>
              </w:rPr>
            </w:pP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2.2</w:t>
            </w:r>
          </w:p>
        </w:tc>
      </w:tr>
      <w:tr w:rsidR="00EF40D9" w:rsidRPr="00EF40D9" w:rsidTr="00EF40D9">
        <w:trPr>
          <w:trHeight w:val="37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[2.1] + [2.2]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46 623 542,25</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8C40FA" w:rsidP="00EF40D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35 276 948,61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214 000,00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8C40FA" w:rsidP="00EF40D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11 346 593,64</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41 467 023,60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35 391 000,00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339 000,00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6 076 023,60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41 168 480,00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35 856 000,00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298 000,00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5 312 480,00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41 615 480,00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36 377 000,00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252 000,00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5 238 480,00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41 650 000,00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5 270 000,00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41 619 500,00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5 239 500,00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5 240 000,00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41 690 000,00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5 310 000,00</w:t>
            </w:r>
          </w:p>
        </w:tc>
      </w:tr>
      <w:tr w:rsidR="00EF40D9" w:rsidRPr="00EF40D9" w:rsidTr="00EF40D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41 720 000,00</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36 380 000,00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5 340 000,00</w:t>
            </w:r>
          </w:p>
        </w:tc>
      </w:tr>
    </w:tbl>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 xml:space="preserve">4) W pozycji wykazuje się kwoty dla lat budżetowych 2013-2018.  </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61"/>
        <w:gridCol w:w="1093"/>
        <w:gridCol w:w="1057"/>
        <w:gridCol w:w="1077"/>
        <w:gridCol w:w="1094"/>
        <w:gridCol w:w="1074"/>
        <w:gridCol w:w="1075"/>
        <w:gridCol w:w="1060"/>
        <w:gridCol w:w="1075"/>
        <w:gridCol w:w="1040"/>
        <w:gridCol w:w="1094"/>
      </w:tblGrid>
      <w:tr w:rsidR="00EF40D9" w:rsidRPr="00EF40D9" w:rsidTr="00EF40D9">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r>
      <w:tr w:rsidR="00EF40D9" w:rsidRPr="00EF40D9" w:rsidTr="00EF40D9">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na pokrycie deficytu </w:t>
            </w:r>
            <w:r w:rsidRPr="00EF40D9">
              <w:rPr>
                <w:rFonts w:ascii="Arial" w:eastAsia="Times New Roman" w:hAnsi="Arial" w:cs="Arial"/>
                <w:color w:val="000000"/>
                <w:sz w:val="14"/>
                <w:szCs w:val="14"/>
              </w:rPr>
              <w:br/>
              <w:t>budżetu</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4.4.1</w:t>
            </w:r>
          </w:p>
        </w:tc>
      </w:tr>
      <w:tr w:rsidR="00EF40D9" w:rsidRPr="00EF40D9" w:rsidTr="00EF40D9">
        <w:trPr>
          <w:trHeight w:val="37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[1] -[2]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[4.1] + [4.2] + [4.3] + [4.4]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 </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6 055 000,00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3 261 864,11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1E7113" w:rsidRPr="00EF40D9" w:rsidRDefault="001E7113" w:rsidP="00305EA7">
      <w:pPr>
        <w:spacing w:after="0" w:line="240" w:lineRule="auto"/>
        <w:rPr>
          <w:rFonts w:ascii="Times New Roman" w:eastAsia="Times New Roman" w:hAnsi="Times New Roman" w:cs="Times New Roman"/>
          <w:bCs/>
          <w:iCs/>
          <w:color w:val="000000"/>
          <w:sz w:val="16"/>
          <w:szCs w:val="16"/>
        </w:rPr>
      </w:pPr>
    </w:p>
    <w:p w:rsidR="001E7113"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Default="00EF40D9" w:rsidP="00305EA7">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EF40D9" w:rsidRPr="00EF40D9" w:rsidTr="00EF40D9">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Rozchody </w:t>
            </w:r>
            <w:r w:rsidRPr="00EF40D9">
              <w:rPr>
                <w:rFonts w:ascii="Arial" w:eastAsia="Times New Roman" w:hAnsi="Arial" w:cs="Arial"/>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 Inne rozchody niezwiązane ze spłatą długu</w:t>
            </w:r>
          </w:p>
        </w:tc>
      </w:tr>
      <w:tr w:rsidR="00EF40D9" w:rsidRPr="00EF40D9" w:rsidTr="00EF40D9">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w tym łączna 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z limitu spłaty zobowiązań, o którym mowa w art. 243 ustawy</w:t>
            </w:r>
          </w:p>
        </w:tc>
        <w:tc>
          <w:tcPr>
            <w:tcW w:w="42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określonych w art. 243 ust. 3a ustawy</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xml:space="preserve">kwota przypadających na dany rok kwot ustawowych </w:t>
            </w:r>
            <w:proofErr w:type="spellStart"/>
            <w:r w:rsidRPr="00EF40D9">
              <w:rPr>
                <w:rFonts w:ascii="Arial" w:eastAsia="Times New Roman" w:hAnsi="Arial" w:cs="Arial"/>
                <w:color w:val="000000"/>
                <w:sz w:val="14"/>
                <w:szCs w:val="14"/>
              </w:rPr>
              <w:t>wyłączeń</w:t>
            </w:r>
            <w:proofErr w:type="spellEnd"/>
            <w:r w:rsidRPr="00EF40D9">
              <w:rPr>
                <w:rFonts w:ascii="Arial" w:eastAsia="Times New Roman" w:hAnsi="Arial" w:cs="Arial"/>
                <w:color w:val="000000"/>
                <w:sz w:val="14"/>
                <w:szCs w:val="14"/>
              </w:rPr>
              <w:t xml:space="preserve">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EF40D9" w:rsidRPr="00EF40D9" w:rsidRDefault="00EF40D9" w:rsidP="00EF40D9">
            <w:pPr>
              <w:spacing w:after="0" w:line="240" w:lineRule="auto"/>
              <w:rPr>
                <w:rFonts w:ascii="Arial" w:eastAsia="Times New Roman" w:hAnsi="Arial" w:cs="Arial"/>
                <w:color w:val="000000"/>
                <w:sz w:val="14"/>
                <w:szCs w:val="14"/>
              </w:rPr>
            </w:pP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proofErr w:type="spellStart"/>
            <w:r w:rsidRPr="00EF40D9">
              <w:rPr>
                <w:rFonts w:ascii="Arial" w:eastAsia="Times New Roman" w:hAnsi="Arial" w:cs="Arial"/>
                <w:color w:val="000000"/>
                <w:sz w:val="14"/>
                <w:szCs w:val="14"/>
              </w:rPr>
              <w:t>Lp</w:t>
            </w:r>
            <w:proofErr w:type="spellEnd"/>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5.2</w:t>
            </w:r>
          </w:p>
        </w:tc>
      </w:tr>
      <w:tr w:rsidR="00EF40D9" w:rsidRPr="00EF40D9" w:rsidTr="00EF40D9">
        <w:trPr>
          <w:trHeight w:val="371"/>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Formuła</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[5.1] + [5.2]</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[5.1.1.1] + [5.1.1.2] + [5.1.1.3]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4"/>
                <w:szCs w:val="14"/>
              </w:rPr>
            </w:pPr>
            <w:r w:rsidRPr="00EF40D9">
              <w:rPr>
                <w:rFonts w:ascii="Arial" w:eastAsia="Times New Roman" w:hAnsi="Arial" w:cs="Arial"/>
                <w:color w:val="000000"/>
                <w:sz w:val="14"/>
                <w:szCs w:val="14"/>
              </w:rPr>
              <w:t> </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2018</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2 793 135,89</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1 556 135,89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1 323 756,40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1 445 000,00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1 450 000,00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1 410 000,00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r w:rsidR="00EF40D9" w:rsidRPr="00EF40D9" w:rsidTr="00EF40D9">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center"/>
              <w:rPr>
                <w:rFonts w:ascii="Arial" w:eastAsia="Times New Roman" w:hAnsi="Arial" w:cs="Arial"/>
                <w:color w:val="000000"/>
                <w:sz w:val="12"/>
                <w:szCs w:val="12"/>
              </w:rPr>
            </w:pPr>
            <w:r w:rsidRPr="00EF40D9">
              <w:rPr>
                <w:rFonts w:ascii="Arial" w:eastAsia="Times New Roman" w:hAnsi="Arial" w:cs="Arial"/>
                <w:color w:val="000000"/>
                <w:sz w:val="12"/>
                <w:szCs w:val="12"/>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1 380 000,00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EF40D9" w:rsidRPr="00EF40D9" w:rsidRDefault="00EF40D9" w:rsidP="00EF40D9">
            <w:pPr>
              <w:spacing w:after="0" w:line="240" w:lineRule="auto"/>
              <w:jc w:val="right"/>
              <w:rPr>
                <w:rFonts w:ascii="Arial" w:eastAsia="Times New Roman" w:hAnsi="Arial" w:cs="Arial"/>
                <w:color w:val="000000"/>
                <w:sz w:val="14"/>
                <w:szCs w:val="14"/>
              </w:rPr>
            </w:pPr>
            <w:r w:rsidRPr="00EF40D9">
              <w:rPr>
                <w:rFonts w:ascii="Arial" w:eastAsia="Times New Roman" w:hAnsi="Arial" w:cs="Arial"/>
                <w:color w:val="000000"/>
                <w:sz w:val="14"/>
                <w:szCs w:val="14"/>
              </w:rPr>
              <w:t>0,00</w:t>
            </w:r>
          </w:p>
        </w:tc>
      </w:tr>
    </w:tbl>
    <w:p w:rsidR="00EF40D9" w:rsidRDefault="00EF40D9" w:rsidP="00305EA7">
      <w:pPr>
        <w:spacing w:after="0" w:line="240" w:lineRule="auto"/>
        <w:rPr>
          <w:rFonts w:ascii="Times New Roman" w:eastAsia="Times New Roman" w:hAnsi="Times New Roman" w:cs="Times New Roman"/>
          <w:b/>
          <w:bCs/>
          <w:iCs/>
          <w:color w:val="000000"/>
          <w:sz w:val="24"/>
          <w:szCs w:val="24"/>
        </w:rPr>
      </w:pPr>
    </w:p>
    <w:p w:rsidR="00EF40D9" w:rsidRPr="00EF40D9" w:rsidRDefault="00EF40D9" w:rsidP="00305EA7">
      <w:pPr>
        <w:spacing w:after="0" w:line="240" w:lineRule="auto"/>
        <w:rPr>
          <w:rFonts w:ascii="Times New Roman" w:eastAsia="Times New Roman" w:hAnsi="Times New Roman" w:cs="Times New Roman"/>
          <w:bCs/>
          <w:iCs/>
          <w:color w:val="000000"/>
          <w:sz w:val="16"/>
          <w:szCs w:val="16"/>
        </w:rPr>
      </w:pPr>
      <w:r w:rsidRPr="00EF40D9">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69524C" w:rsidRPr="0069524C" w:rsidTr="0069524C">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Relacja zrównoważenia wydatków bieżących, o której mowa w art. 242 ustawy</w:t>
            </w:r>
          </w:p>
        </w:tc>
      </w:tr>
      <w:tr w:rsidR="0069524C" w:rsidRPr="0069524C" w:rsidTr="0069524C">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Różnica między dochodami bieżącymi, skorygowanymi o środki     a wydatkami bieżącymi, pomniejszonymi </w:t>
            </w:r>
            <w:r w:rsidRPr="0069524C">
              <w:rPr>
                <w:rFonts w:ascii="Arial" w:eastAsia="Times New Roman" w:hAnsi="Arial" w:cs="Arial"/>
                <w:color w:val="000000"/>
                <w:sz w:val="14"/>
                <w:szCs w:val="14"/>
              </w:rPr>
              <w:br/>
              <w:t>o wydatki</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8.2</w:t>
            </w:r>
          </w:p>
        </w:tc>
      </w:tr>
      <w:tr w:rsidR="0069524C" w:rsidRPr="0069524C" w:rsidTr="0069524C">
        <w:trPr>
          <w:trHeight w:val="37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 - [2.1]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[4.1] + [4.2] - ([2.1] - [2.1.2])</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11 464 256,40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8C40FA"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4 774 691,99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8C40FA"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4 774 691,99</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10 140 500,00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6 515 480,00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8 645 500,00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6 567 480,00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7 200 500,00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6 443 480,00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5 750 500,00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4 270 000,00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2 790 000,00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r w:rsidR="0069524C" w:rsidRPr="0069524C" w:rsidTr="0069524C">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6 720 000,00</w:t>
            </w:r>
          </w:p>
        </w:tc>
      </w:tr>
    </w:tbl>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69524C" w:rsidRPr="0069524C" w:rsidRDefault="0069524C" w:rsidP="0069524C">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1E7113" w:rsidRDefault="001E7113"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261"/>
        <w:gridCol w:w="1118"/>
        <w:gridCol w:w="1295"/>
        <w:gridCol w:w="1058"/>
        <w:gridCol w:w="1058"/>
        <w:gridCol w:w="1058"/>
        <w:gridCol w:w="1098"/>
        <w:gridCol w:w="1098"/>
        <w:gridCol w:w="1038"/>
        <w:gridCol w:w="1058"/>
      </w:tblGrid>
      <w:tr w:rsidR="0069524C" w:rsidRPr="0069524C" w:rsidTr="0069524C">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Wskaźnik spłaty zobowiązań</w:t>
            </w:r>
          </w:p>
        </w:tc>
      </w:tr>
      <w:tr w:rsidR="0069524C" w:rsidRPr="0069524C" w:rsidTr="0069524C">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r w:rsidRPr="0069524C">
              <w:rPr>
                <w:rFonts w:ascii="Arial" w:eastAsia="Times New Roman" w:hAnsi="Arial" w:cs="Arial"/>
                <w:color w:val="000000"/>
                <w:sz w:val="10"/>
                <w:szCs w:val="10"/>
              </w:rPr>
              <w:br/>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xml:space="preserve">, </w:t>
            </w:r>
            <w:r w:rsidRPr="0069524C">
              <w:rPr>
                <w:rFonts w:ascii="Arial" w:eastAsia="Times New Roman" w:hAnsi="Arial" w:cs="Arial"/>
                <w:color w:val="000000"/>
                <w:sz w:val="10"/>
                <w:szCs w:val="10"/>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Dopuszczalny wskaźnik spłaty zobowiązań określony w art. 243 ustawy,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sidRPr="0069524C">
              <w:rPr>
                <w:rFonts w:ascii="Arial" w:eastAsia="Times New Roman" w:hAnsi="Arial" w:cs="Arial"/>
                <w:color w:val="000000"/>
                <w:sz w:val="10"/>
                <w:szCs w:val="10"/>
              </w:rPr>
              <w:t>wyłączeń</w:t>
            </w:r>
            <w:proofErr w:type="spellEnd"/>
            <w:r w:rsidRPr="0069524C">
              <w:rPr>
                <w:rFonts w:ascii="Arial" w:eastAsia="Times New Roman" w:hAnsi="Arial" w:cs="Arial"/>
                <w:color w:val="000000"/>
                <w:sz w:val="10"/>
                <w:szCs w:val="10"/>
              </w:rPr>
              <w:t>, obliczonego w oparciu o wykonanie roku poprzedzającego rok budżetowy</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9.7.1</w:t>
            </w:r>
          </w:p>
        </w:tc>
      </w:tr>
      <w:tr w:rsidR="0069524C" w:rsidRPr="0069524C" w:rsidTr="0069524C">
        <w:trPr>
          <w:trHeight w:val="37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([2.1.1.] + [2.1.3.1] + [5.1] ) / [1]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 - [2.1.1.1])</w:t>
            </w:r>
            <w:r w:rsidRPr="0069524C">
              <w:rPr>
                <w:rFonts w:ascii="Arial" w:eastAsia="Times New Roman" w:hAnsi="Arial" w:cs="Arial"/>
                <w:color w:val="000000"/>
                <w:sz w:val="6"/>
                <w:szCs w:val="6"/>
              </w:rPr>
              <w:br/>
              <w:t xml:space="preserve"> + ([2.1.3.1] - [2.1.3.1.1] - [2.1.3.1.2]) </w:t>
            </w:r>
            <w:r w:rsidRPr="0069524C">
              <w:rPr>
                <w:rFonts w:ascii="Arial" w:eastAsia="Times New Roman" w:hAnsi="Arial" w:cs="Arial"/>
                <w:color w:val="000000"/>
                <w:sz w:val="6"/>
                <w:szCs w:val="6"/>
              </w:rPr>
              <w:br/>
              <w:t xml:space="preserve">+ ([5.1] - [5.1.1]) ) </w:t>
            </w:r>
            <w:r w:rsidRPr="0069524C">
              <w:rPr>
                <w:rFonts w:ascii="Arial" w:eastAsia="Times New Roman" w:hAnsi="Arial" w:cs="Arial"/>
                <w:color w:val="000000"/>
                <w:sz w:val="6"/>
                <w:szCs w:val="6"/>
              </w:rPr>
              <w:br/>
              <w:t>/ ([1] - [15.1.1])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6"/>
                <w:szCs w:val="6"/>
              </w:rPr>
            </w:pPr>
            <w:r w:rsidRPr="0069524C">
              <w:rPr>
                <w:rFonts w:ascii="Arial" w:eastAsia="Times New Roman" w:hAnsi="Arial" w:cs="Arial"/>
                <w:color w:val="000000"/>
                <w:sz w:val="6"/>
                <w:szCs w:val="6"/>
              </w:rPr>
              <w:t>(([2.1.1]-[2.1.1.1]) + ([2.1.3.1]-[2.1.3.1.1]-[2.1.3.1.2])+([5.1]-[5.1.1])+[9.5]) /([1]-[15.1.1])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8"/>
                <w:szCs w:val="8"/>
              </w:rPr>
            </w:pPr>
            <w:r w:rsidRPr="0069524C">
              <w:rPr>
                <w:rFonts w:ascii="Arial" w:eastAsia="Times New Roman" w:hAnsi="Arial" w:cs="Arial"/>
                <w:color w:val="000000"/>
                <w:sz w:val="8"/>
                <w:szCs w:val="8"/>
              </w:rPr>
              <w:t>(([1.1] - [15.1.1])+[1.2.1] - ([2.1]-[2.1.2]-[15.2]))/ ([1]-[15.1.1])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0"/>
                <w:szCs w:val="10"/>
              </w:rPr>
            </w:pPr>
            <w:r w:rsidRPr="0069524C">
              <w:rPr>
                <w:rFonts w:ascii="Arial" w:eastAsia="Times New Roman" w:hAnsi="Arial" w:cs="Arial"/>
                <w:color w:val="000000"/>
                <w:sz w:val="10"/>
                <w:szCs w:val="10"/>
              </w:rPr>
              <w:t>średnia z trzech poprzednich lat [9.5]</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[9.6] – [9.4]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xml:space="preserve">[9.6.1] – [9.4] </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B97ED9">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11,57</w:t>
            </w:r>
            <w:r w:rsidR="0069524C" w:rsidRPr="0069524C">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12,92%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14,30%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3,89%</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15,79%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69524C">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11,50</w:t>
            </w:r>
            <w:r w:rsidR="0069524C" w:rsidRPr="0069524C">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B97ED9">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12,</w:t>
            </w:r>
            <w:r w:rsidR="00B97ED9">
              <w:rPr>
                <w:rFonts w:ascii="Arial" w:eastAsia="Times New Roman" w:hAnsi="Arial" w:cs="Arial"/>
                <w:color w:val="000000"/>
                <w:sz w:val="14"/>
                <w:szCs w:val="14"/>
              </w:rPr>
              <w:t>88</w:t>
            </w:r>
            <w:r w:rsidRPr="0069524C">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4,20%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69524C">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12,18</w:t>
            </w:r>
            <w:r w:rsidR="0069524C" w:rsidRPr="0069524C">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69524C">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13,56</w:t>
            </w:r>
            <w:r w:rsidR="0069524C" w:rsidRPr="0069524C">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15,52%</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69524C">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14,44</w:t>
            </w:r>
            <w:r w:rsidR="0069524C" w:rsidRPr="0069524C">
              <w:rPr>
                <w:rFonts w:ascii="Arial" w:eastAsia="Times New Roman" w:hAnsi="Arial" w:cs="Arial"/>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B97ED9" w:rsidP="0069524C">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14,44</w:t>
            </w:r>
            <w:r w:rsidR="0069524C" w:rsidRPr="0069524C">
              <w:rPr>
                <w:rFonts w:ascii="Arial" w:eastAsia="Times New Roman" w:hAnsi="Arial" w:cs="Arial"/>
                <w:color w:val="000000"/>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15,76%</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15,69%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3,43%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15,57%</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r w:rsidR="0069524C" w:rsidRPr="0069524C" w:rsidTr="0069524C">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3,20%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15,59%</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TAK</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Pr="0069524C" w:rsidRDefault="0069524C" w:rsidP="00305EA7">
      <w:pPr>
        <w:spacing w:after="0" w:line="240" w:lineRule="auto"/>
        <w:rPr>
          <w:rFonts w:ascii="Times New Roman" w:eastAsia="Times New Roman" w:hAnsi="Times New Roman" w:cs="Times New Roman"/>
          <w:bCs/>
          <w:iCs/>
          <w:color w:val="000000"/>
          <w:sz w:val="16"/>
          <w:szCs w:val="16"/>
        </w:rPr>
      </w:pPr>
      <w:r w:rsidRPr="0069524C">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69524C" w:rsidRDefault="0069524C" w:rsidP="00305EA7">
      <w:pPr>
        <w:spacing w:after="0" w:line="240" w:lineRule="auto"/>
        <w:rPr>
          <w:rFonts w:ascii="Times New Roman" w:eastAsia="Times New Roman" w:hAnsi="Times New Roman" w:cs="Times New Roman"/>
          <w:b/>
          <w:bCs/>
          <w:iCs/>
          <w:color w:val="000000"/>
          <w:sz w:val="24"/>
          <w:szCs w:val="24"/>
        </w:rPr>
      </w:pPr>
    </w:p>
    <w:tbl>
      <w:tblPr>
        <w:tblW w:w="14608" w:type="dxa"/>
        <w:jc w:val="center"/>
        <w:tblCellMar>
          <w:left w:w="70" w:type="dxa"/>
          <w:right w:w="70" w:type="dxa"/>
        </w:tblCellMar>
        <w:tblLook w:val="04A0" w:firstRow="1" w:lastRow="0" w:firstColumn="1" w:lastColumn="0" w:noHBand="0" w:noVBand="1"/>
      </w:tblPr>
      <w:tblGrid>
        <w:gridCol w:w="1261"/>
        <w:gridCol w:w="1192"/>
        <w:gridCol w:w="1165"/>
        <w:gridCol w:w="1638"/>
        <w:gridCol w:w="1369"/>
        <w:gridCol w:w="1400"/>
        <w:gridCol w:w="1260"/>
        <w:gridCol w:w="1132"/>
        <w:gridCol w:w="1535"/>
        <w:gridCol w:w="1401"/>
        <w:gridCol w:w="1255"/>
      </w:tblGrid>
      <w:tr w:rsidR="008C40FA" w:rsidRPr="0069524C" w:rsidTr="00BC7794">
        <w:trPr>
          <w:trHeight w:val="255"/>
          <w:jc w:val="center"/>
        </w:trPr>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Wyszczególnienie</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Przeznaczenie prognozowanej nadwyżki budżetowej</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 tym na:</w:t>
            </w:r>
          </w:p>
        </w:tc>
        <w:tc>
          <w:tcPr>
            <w:tcW w:w="11114" w:type="dxa"/>
            <w:gridSpan w:val="8"/>
            <w:tcBorders>
              <w:top w:val="single" w:sz="4" w:space="0" w:color="000000"/>
              <w:left w:val="nil"/>
              <w:bottom w:val="single" w:sz="4" w:space="0" w:color="000000"/>
              <w:right w:val="single" w:sz="4" w:space="0" w:color="000000"/>
            </w:tcBorders>
            <w:shd w:val="clear" w:color="000000" w:fill="FFFFFF"/>
            <w:vAlign w:val="center"/>
            <w:hideMark/>
          </w:tcPr>
          <w:p w:rsidR="00BC7794" w:rsidRPr="0069524C" w:rsidRDefault="00BC7794"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Informacje uzupełniające o wybranych rodzajach wydatków budżetowych</w:t>
            </w:r>
          </w:p>
        </w:tc>
      </w:tr>
      <w:tr w:rsidR="008C40FA" w:rsidRPr="0069524C" w:rsidTr="00BC7794">
        <w:trPr>
          <w:trHeight w:val="255"/>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Spłaty kredytów, pożyczek i wykup papierów wartościowych </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bieżące na wynagrodzenia i składki od nich naliczane</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Wydatki związane z funkcjonowaniem organów jednostki samorządu terytorialnego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objęte limitem, o którym mowa w art. 226 ust. 3 pkt 4 ustawy</w:t>
            </w:r>
          </w:p>
        </w:tc>
        <w:tc>
          <w:tcPr>
            <w:tcW w:w="241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z tego:</w:t>
            </w:r>
          </w:p>
        </w:tc>
        <w:tc>
          <w:tcPr>
            <w:tcW w:w="1554"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Wydatki inwestycyjne kontynuowane</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Nowe wydatki inwestycyjne</w:t>
            </w:r>
          </w:p>
          <w:p w:rsidR="0069524C" w:rsidRPr="0069524C" w:rsidRDefault="0069524C" w:rsidP="0069524C">
            <w:pPr>
              <w:spacing w:after="0" w:line="240" w:lineRule="auto"/>
              <w:jc w:val="center"/>
              <w:rPr>
                <w:rFonts w:ascii="Arial" w:eastAsia="Times New Roman" w:hAnsi="Arial" w:cs="Arial"/>
                <w:color w:val="000000"/>
                <w:sz w:val="14"/>
                <w:szCs w:val="14"/>
              </w:rPr>
            </w:pPr>
          </w:p>
        </w:tc>
        <w:tc>
          <w:tcPr>
            <w:tcW w:w="1275" w:type="dxa"/>
            <w:vMerge w:val="restart"/>
            <w:tcBorders>
              <w:top w:val="single" w:sz="4" w:space="0" w:color="000000"/>
              <w:left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 xml:space="preserve">Wydatki majątkowe w formie dotacji  </w:t>
            </w:r>
          </w:p>
        </w:tc>
      </w:tr>
      <w:tr w:rsidR="008C40FA" w:rsidRPr="0069524C" w:rsidTr="00BC7794">
        <w:trPr>
          <w:trHeight w:val="2040"/>
          <w:jc w:val="center"/>
        </w:trPr>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9524C" w:rsidRPr="0069524C" w:rsidRDefault="0069524C" w:rsidP="0069524C">
            <w:pPr>
              <w:spacing w:after="0" w:line="240" w:lineRule="auto"/>
              <w:rPr>
                <w:rFonts w:ascii="Arial" w:eastAsia="Times New Roman" w:hAnsi="Arial" w:cs="Arial"/>
                <w:color w:val="000000"/>
                <w:sz w:val="14"/>
                <w:szCs w:val="14"/>
              </w:rPr>
            </w:pP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bieżące</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 xml:space="preserve">   majątkowe</w:t>
            </w:r>
          </w:p>
        </w:tc>
        <w:tc>
          <w:tcPr>
            <w:tcW w:w="1554"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418" w:type="dxa"/>
            <w:vMerge/>
            <w:tcBorders>
              <w:left w:val="single" w:sz="4" w:space="0" w:color="000000"/>
              <w:right w:val="single" w:sz="4" w:space="0" w:color="000000"/>
            </w:tcBorders>
            <w:vAlign w:val="center"/>
            <w:hideMark/>
          </w:tcPr>
          <w:p w:rsidR="0069524C" w:rsidRPr="0069524C" w:rsidRDefault="0069524C" w:rsidP="0069524C">
            <w:pPr>
              <w:spacing w:after="0" w:line="240" w:lineRule="auto"/>
              <w:rPr>
                <w:rFonts w:ascii="Times New Roman" w:eastAsia="Times New Roman" w:hAnsi="Times New Roman" w:cs="Times New Roman"/>
                <w:sz w:val="20"/>
                <w:szCs w:val="20"/>
              </w:rPr>
            </w:pPr>
          </w:p>
        </w:tc>
        <w:tc>
          <w:tcPr>
            <w:tcW w:w="1275" w:type="dxa"/>
            <w:vMerge/>
            <w:tcBorders>
              <w:left w:val="single" w:sz="4" w:space="0" w:color="000000"/>
              <w:right w:val="single" w:sz="4" w:space="0" w:color="000000"/>
            </w:tcBorders>
          </w:tcPr>
          <w:p w:rsidR="0069524C" w:rsidRPr="0069524C" w:rsidRDefault="0069524C" w:rsidP="0069524C">
            <w:pPr>
              <w:spacing w:after="0" w:line="240" w:lineRule="auto"/>
              <w:rPr>
                <w:rFonts w:ascii="Times New Roman" w:eastAsia="Times New Roman" w:hAnsi="Times New Roman" w:cs="Times New Roman"/>
                <w:sz w:val="20"/>
                <w:szCs w:val="20"/>
              </w:rPr>
            </w:pP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proofErr w:type="spellStart"/>
            <w:r w:rsidRPr="0069524C">
              <w:rPr>
                <w:rFonts w:ascii="Arial" w:eastAsia="Times New Roman" w:hAnsi="Arial" w:cs="Arial"/>
                <w:color w:val="000000"/>
                <w:sz w:val="14"/>
                <w:szCs w:val="14"/>
              </w:rPr>
              <w:t>Lp</w:t>
            </w:r>
            <w:proofErr w:type="spellEnd"/>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10.1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11.1</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11.2</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11.3.1</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11.3.2</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11.4</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11.5</w:t>
            </w:r>
            <w:r>
              <w:rPr>
                <w:rFonts w:ascii="Arial" w:eastAsia="Times New Roman" w:hAnsi="Arial" w:cs="Arial"/>
                <w:color w:val="000000"/>
                <w:sz w:val="14"/>
                <w:szCs w:val="14"/>
              </w:rPr>
              <w:t xml:space="preserve"> </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Times New Roman" w:eastAsia="Times New Roman" w:hAnsi="Times New Roman" w:cs="Times New Roman"/>
                <w:sz w:val="14"/>
                <w:szCs w:val="14"/>
              </w:rPr>
              <w:t>11.6</w:t>
            </w:r>
          </w:p>
        </w:tc>
      </w:tr>
      <w:tr w:rsidR="008C40FA" w:rsidRPr="0069524C" w:rsidTr="00BC7794">
        <w:trPr>
          <w:trHeight w:val="37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4"/>
                <w:szCs w:val="14"/>
              </w:rPr>
            </w:pPr>
            <w:r w:rsidRPr="0069524C">
              <w:rPr>
                <w:rFonts w:ascii="Arial" w:eastAsia="Times New Roman" w:hAnsi="Arial" w:cs="Arial"/>
                <w:color w:val="000000"/>
                <w:sz w:val="14"/>
                <w:szCs w:val="14"/>
              </w:rPr>
              <w:t>Formuła</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[11.3.1] + [11.3.2]</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 </w:t>
            </w:r>
            <w:r w:rsidRPr="0069524C">
              <w:rPr>
                <w:rFonts w:ascii="Times New Roman" w:eastAsia="Times New Roman" w:hAnsi="Times New Roman" w:cs="Times New Roman"/>
                <w:sz w:val="24"/>
                <w:szCs w:val="24"/>
              </w:rPr>
              <w:t xml:space="preserve">  </w:t>
            </w:r>
          </w:p>
        </w:tc>
        <w:tc>
          <w:tcPr>
            <w:tcW w:w="1275" w:type="dxa"/>
            <w:tcBorders>
              <w:top w:val="single" w:sz="4" w:space="0" w:color="000000"/>
              <w:left w:val="nil"/>
              <w:bottom w:val="single" w:sz="4" w:space="0" w:color="000000"/>
              <w:right w:val="single" w:sz="4" w:space="0" w:color="000000"/>
            </w:tcBorders>
            <w:shd w:val="clear" w:color="000000" w:fill="FFFFFF"/>
          </w:tcPr>
          <w:p w:rsidR="0069524C" w:rsidRPr="0069524C" w:rsidRDefault="0069524C" w:rsidP="0069524C">
            <w:pPr>
              <w:spacing w:after="0" w:line="240" w:lineRule="auto"/>
              <w:jc w:val="center"/>
              <w:rPr>
                <w:rFonts w:ascii="Arial" w:eastAsia="Times New Roman" w:hAnsi="Arial" w:cs="Arial"/>
                <w:color w:val="000000"/>
                <w:sz w:val="12"/>
                <w:szCs w:val="12"/>
              </w:rPr>
            </w:pP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2018</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12 769 322,00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341CB7"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3 118 750,85</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8C40FA"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8 141 648,18</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733CD"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633 663,00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8C40FA" w:rsidP="0069524C">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7 507 985,18</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2028F3" w:rsidP="008C40F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7</w:t>
            </w:r>
            <w:r w:rsidR="008C40FA">
              <w:rPr>
                <w:rFonts w:ascii="Arial" w:eastAsia="Times New Roman" w:hAnsi="Arial" w:cs="Arial"/>
                <w:color w:val="000000"/>
                <w:sz w:val="14"/>
                <w:szCs w:val="14"/>
              </w:rPr>
              <w:t> </w:t>
            </w:r>
            <w:r>
              <w:rPr>
                <w:rFonts w:ascii="Arial" w:eastAsia="Times New Roman" w:hAnsi="Arial" w:cs="Arial"/>
                <w:color w:val="000000"/>
                <w:sz w:val="14"/>
                <w:szCs w:val="14"/>
              </w:rPr>
              <w:t>50</w:t>
            </w:r>
            <w:r w:rsidR="008C40FA">
              <w:rPr>
                <w:rFonts w:ascii="Arial" w:eastAsia="Times New Roman" w:hAnsi="Arial" w:cs="Arial"/>
                <w:color w:val="000000"/>
                <w:sz w:val="14"/>
                <w:szCs w:val="14"/>
              </w:rPr>
              <w:t>7 985,18</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096849" w:rsidP="008C40F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3 643 608,46</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BC7794" w:rsidRDefault="00096849" w:rsidP="0069524C">
            <w:pPr>
              <w:spacing w:after="0" w:line="240" w:lineRule="auto"/>
              <w:jc w:val="right"/>
              <w:rPr>
                <w:rFonts w:ascii="Arial" w:eastAsia="Times New Roman" w:hAnsi="Arial" w:cs="Arial"/>
                <w:color w:val="000000"/>
                <w:sz w:val="14"/>
                <w:szCs w:val="14"/>
              </w:rPr>
            </w:pPr>
            <w:r>
              <w:rPr>
                <w:rFonts w:ascii="Arial" w:eastAsia="Times New Roman" w:hAnsi="Arial" w:cs="Arial"/>
                <w:sz w:val="14"/>
                <w:szCs w:val="14"/>
              </w:rPr>
              <w:t>195</w:t>
            </w:r>
            <w:r w:rsidR="0069524C" w:rsidRPr="0069524C">
              <w:rPr>
                <w:rFonts w:ascii="Arial" w:eastAsia="Times New Roman" w:hAnsi="Arial" w:cs="Arial"/>
                <w:sz w:val="14"/>
                <w:szCs w:val="14"/>
              </w:rPr>
              <w:t xml:space="preserve"> 000,00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2019</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1 323 756,40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12 412 000,00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66 800,00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2020</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1 495 000,00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12 724 000,00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3 155 000,00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2021</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1 445 000,00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13 093 000,00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3 160 000,00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2022</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1 450 000,00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2023</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1 480 500,00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2024</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2025</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1 410 000,00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r w:rsidR="008C40FA" w:rsidRPr="0069524C" w:rsidTr="00BC7794">
        <w:trPr>
          <w:trHeight w:val="255"/>
          <w:jc w:val="center"/>
        </w:trPr>
        <w:tc>
          <w:tcPr>
            <w:tcW w:w="112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center"/>
              <w:rPr>
                <w:rFonts w:ascii="Arial" w:eastAsia="Times New Roman" w:hAnsi="Arial" w:cs="Arial"/>
                <w:color w:val="000000"/>
                <w:sz w:val="12"/>
                <w:szCs w:val="12"/>
              </w:rPr>
            </w:pPr>
            <w:r w:rsidRPr="0069524C">
              <w:rPr>
                <w:rFonts w:ascii="Arial" w:eastAsia="Times New Roman" w:hAnsi="Arial" w:cs="Arial"/>
                <w:color w:val="000000"/>
                <w:sz w:val="12"/>
                <w:szCs w:val="12"/>
              </w:rPr>
              <w:t>2026</w:t>
            </w:r>
          </w:p>
        </w:tc>
        <w:tc>
          <w:tcPr>
            <w:tcW w:w="119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16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1 380 000,00</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375"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139"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554"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9524C" w:rsidRPr="0069524C" w:rsidRDefault="0069524C" w:rsidP="0069524C">
            <w:pPr>
              <w:spacing w:after="0" w:line="240" w:lineRule="auto"/>
              <w:jc w:val="right"/>
              <w:rPr>
                <w:rFonts w:ascii="Arial" w:eastAsia="Times New Roman" w:hAnsi="Arial" w:cs="Arial"/>
                <w:color w:val="000000"/>
                <w:sz w:val="14"/>
                <w:szCs w:val="14"/>
              </w:rPr>
            </w:pPr>
            <w:r w:rsidRPr="0069524C">
              <w:rPr>
                <w:rFonts w:ascii="Arial" w:eastAsia="Times New Roman" w:hAnsi="Arial" w:cs="Arial"/>
                <w:color w:val="000000"/>
                <w:sz w:val="14"/>
                <w:szCs w:val="14"/>
              </w:rPr>
              <w:t>0,00</w:t>
            </w:r>
          </w:p>
        </w:tc>
      </w:tr>
    </w:tbl>
    <w:p w:rsidR="0069524C" w:rsidRDefault="0069524C" w:rsidP="00305EA7">
      <w:pPr>
        <w:spacing w:after="0" w:line="240" w:lineRule="auto"/>
        <w:rPr>
          <w:rFonts w:ascii="Times New Roman" w:eastAsia="Times New Roman" w:hAnsi="Times New Roman" w:cs="Times New Roman"/>
          <w:b/>
          <w:bCs/>
          <w:iCs/>
          <w:color w:val="000000"/>
          <w:sz w:val="24"/>
          <w:szCs w:val="24"/>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11) W pozycji wykazuje się kwoty wydatków w ramach zadań własnych klasyfikowanych w dziale 750- Administracja publiczna w rozdziałach właściwych dla organów i urzędów jednostki samorządu terytorialnego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(rozdziały od 75017 do 75023).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69524C"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1E7113" w:rsidRDefault="001E7113"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220" w:type="dxa"/>
        <w:jc w:val="center"/>
        <w:tblCellMar>
          <w:left w:w="70" w:type="dxa"/>
          <w:right w:w="70" w:type="dxa"/>
        </w:tblCellMar>
        <w:tblLook w:val="04A0" w:firstRow="1" w:lastRow="0" w:firstColumn="1" w:lastColumn="0" w:noHBand="0" w:noVBand="1"/>
      </w:tblPr>
      <w:tblGrid>
        <w:gridCol w:w="1349"/>
        <w:gridCol w:w="1423"/>
        <w:gridCol w:w="1349"/>
        <w:gridCol w:w="1374"/>
        <w:gridCol w:w="1372"/>
        <w:gridCol w:w="1366"/>
        <w:gridCol w:w="1374"/>
        <w:gridCol w:w="1372"/>
        <w:gridCol w:w="977"/>
        <w:gridCol w:w="1264"/>
      </w:tblGrid>
      <w:tr w:rsidR="00BC7794" w:rsidRPr="00BC7794" w:rsidTr="00BC7794">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871"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Finansowanie programów, projektów lub zadań realizowanych z udziałem środków, o których mowa w art. 5 ust. 1 pkt 2 i 3 ustawy</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bieżące  na programy, projekty lub zadania finansowane z udziałem środków, o których mowa w art. 5 ust. 1 pkt 2 i 3 ustawy</w:t>
            </w:r>
          </w:p>
        </w:tc>
        <w:tc>
          <w:tcPr>
            <w:tcW w:w="272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majątkowe  na programy, projekty lub zadania 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BC7794" w:rsidRPr="00BC7794" w:rsidTr="00BC7794">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środki określone w art. 5 ust. 1 pkt 2 ustawy wynikające wyłącznie z  zawartych umów na realizację programu, projektu lub </w:t>
            </w:r>
            <w:r w:rsidRPr="00BC7794">
              <w:rPr>
                <w:rFonts w:ascii="Arial" w:eastAsia="Times New Roman" w:hAnsi="Arial" w:cs="Arial"/>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środki określone w art. 5 ust. 1 pkt 2 ustawy wynikające wyłącznie z zawartych umów na realizację programu, projektu lub 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977"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264"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12.2.1.1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12.3.2</w:t>
            </w:r>
          </w:p>
        </w:tc>
      </w:tr>
      <w:tr w:rsidR="00BC7794" w:rsidRPr="00BC7794" w:rsidTr="00BC7794">
        <w:trPr>
          <w:trHeight w:val="37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20 274,60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17 233,41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3 068 321,54</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2 073,16</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3 000,00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644 300,00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423"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BC7794" w:rsidRPr="00BC7794" w:rsidTr="00BC7794">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r>
      <w:tr w:rsidR="00BC7794" w:rsidRPr="00BC7794" w:rsidTr="00BC7794">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r>
      <w:tr w:rsidR="00BC7794" w:rsidRPr="00BC7794" w:rsidTr="00BC7794">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BC7794" w:rsidRPr="00BC7794" w:rsidRDefault="00BC7794" w:rsidP="00BC7794">
            <w:pPr>
              <w:spacing w:after="0" w:line="240" w:lineRule="auto"/>
              <w:jc w:val="center"/>
              <w:rPr>
                <w:rFonts w:ascii="Arial" w:eastAsia="Times New Roman" w:hAnsi="Arial" w:cs="Arial"/>
                <w:color w:val="000000"/>
                <w:sz w:val="10"/>
                <w:szCs w:val="10"/>
              </w:rPr>
            </w:pPr>
          </w:p>
        </w:tc>
        <w:tc>
          <w:tcPr>
            <w:tcW w:w="1276" w:type="dxa"/>
            <w:tcBorders>
              <w:top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12.7.1</w:t>
            </w:r>
          </w:p>
        </w:tc>
      </w:tr>
      <w:tr w:rsidR="00BC7794" w:rsidRPr="00BC7794" w:rsidTr="00BC7794">
        <w:trPr>
          <w:trHeight w:val="37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8C40FA" w:rsidP="00BC7794">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1 293 208,57</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2 178 618,70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8C40FA" w:rsidP="00BC7794">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886 336,97</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8C40FA" w:rsidP="00BC7794">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886 336,97</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BC7794" w:rsidRPr="00BC7794" w:rsidTr="00BC7794">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xml:space="preserve">Kwoty dotyczące przejęcia i spłaty zobowiązań po samodzielnych publicznych zakładach opieki zdrowotnej oraz pokrycia ujemnego wyniku </w:t>
            </w:r>
          </w:p>
        </w:tc>
      </w:tr>
      <w:tr w:rsidR="00BC7794" w:rsidRPr="00BC7794" w:rsidTr="00BC7794">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0"/>
                <w:szCs w:val="10"/>
              </w:rPr>
            </w:pPr>
            <w:r w:rsidRPr="00BC7794">
              <w:rPr>
                <w:rFonts w:ascii="Arial" w:eastAsia="Times New Roman"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BC7794">
              <w:rPr>
                <w:rFonts w:ascii="Arial" w:eastAsia="Times New Roman" w:hAnsi="Arial" w:cs="Arial"/>
                <w:color w:val="000000"/>
                <w:sz w:val="14"/>
                <w:szCs w:val="14"/>
              </w:rPr>
              <w:t>późn</w:t>
            </w:r>
            <w:proofErr w:type="spellEnd"/>
            <w:r w:rsidRPr="00BC7794">
              <w:rPr>
                <w:rFonts w:ascii="Arial" w:eastAsia="Times New Roman" w:hAnsi="Arial" w:cs="Arial"/>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bieżące na pokrycie ujemnego wyniku finansowego samodzielnego publicznego zakładu opieki zdrowotnej</w:t>
            </w:r>
          </w:p>
        </w:tc>
      </w:tr>
      <w:tr w:rsidR="00BC7794" w:rsidRPr="00BC7794" w:rsidTr="00BC7794">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095"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BC7794" w:rsidRPr="00BC7794" w:rsidRDefault="00BC7794" w:rsidP="00BC7794">
            <w:pPr>
              <w:spacing w:after="0" w:line="240" w:lineRule="auto"/>
              <w:rPr>
                <w:rFonts w:ascii="Times New Roman" w:eastAsia="Times New Roman" w:hAnsi="Times New Roman" w:cs="Times New Roman"/>
                <w:sz w:val="20"/>
                <w:szCs w:val="20"/>
              </w:rPr>
            </w:pP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13.7</w:t>
            </w:r>
          </w:p>
        </w:tc>
      </w:tr>
      <w:tr w:rsidR="00BC7794" w:rsidRPr="00BC7794" w:rsidTr="00BC7794">
        <w:trPr>
          <w:trHeight w:val="37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r w:rsidR="00BC7794" w:rsidRPr="00BC7794" w:rsidTr="00BC7794">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BC7794" w:rsidRPr="00BC7794" w:rsidTr="00BC7794">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Dane uzupełniające o długu i jego spłacie</w:t>
            </w:r>
          </w:p>
        </w:tc>
      </w:tr>
      <w:tr w:rsidR="00BC7794" w:rsidRPr="00BC7794" w:rsidTr="00BC7794">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Kwota długu, którego planowana spłata dokona się z wydatków </w:t>
            </w:r>
            <w:r w:rsidRPr="00BC7794">
              <w:rPr>
                <w:rFonts w:ascii="Arial" w:eastAsia="Times New Roman" w:hAnsi="Arial" w:cs="Arial"/>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Wydatki zmniejszające </w:t>
            </w:r>
            <w:r w:rsidRPr="00BC7794">
              <w:rPr>
                <w:rFonts w:ascii="Arial" w:eastAsia="Times New Roman" w:hAnsi="Arial" w:cs="Arial"/>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Wynik operacji </w:t>
            </w:r>
            <w:proofErr w:type="spellStart"/>
            <w:r w:rsidRPr="00BC7794">
              <w:rPr>
                <w:rFonts w:ascii="Arial" w:eastAsia="Times New Roman" w:hAnsi="Arial" w:cs="Arial"/>
                <w:color w:val="000000"/>
                <w:sz w:val="14"/>
                <w:szCs w:val="14"/>
              </w:rPr>
              <w:t>niekasowych</w:t>
            </w:r>
            <w:proofErr w:type="spellEnd"/>
            <w:r w:rsidRPr="00BC7794">
              <w:rPr>
                <w:rFonts w:ascii="Arial" w:eastAsia="Times New Roman" w:hAnsi="Arial" w:cs="Arial"/>
                <w:color w:val="000000"/>
                <w:sz w:val="14"/>
                <w:szCs w:val="14"/>
              </w:rPr>
              <w:t xml:space="preserve"> wpływających na kwotę długu ( m.in. umorzenia, różnice kursowe)</w:t>
            </w:r>
          </w:p>
        </w:tc>
      </w:tr>
      <w:tr w:rsidR="00BC7794" w:rsidRPr="00BC7794" w:rsidTr="00BC7794">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BC7794" w:rsidRPr="00BC7794" w:rsidRDefault="00BC7794" w:rsidP="00BC7794">
            <w:pPr>
              <w:spacing w:after="0" w:line="240" w:lineRule="auto"/>
              <w:rPr>
                <w:rFonts w:ascii="Arial" w:eastAsia="Times New Roman" w:hAnsi="Arial" w:cs="Arial"/>
                <w:color w:val="000000"/>
                <w:sz w:val="14"/>
                <w:szCs w:val="14"/>
              </w:rPr>
            </w:pP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proofErr w:type="spellStart"/>
            <w:r w:rsidRPr="00BC7794">
              <w:rPr>
                <w:rFonts w:ascii="Arial" w:eastAsia="Times New Roman" w:hAnsi="Arial" w:cs="Arial"/>
                <w:color w:val="000000"/>
                <w:sz w:val="14"/>
                <w:szCs w:val="14"/>
              </w:rPr>
              <w:t>Lp</w:t>
            </w:r>
            <w:proofErr w:type="spellEnd"/>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14.4</w:t>
            </w:r>
          </w:p>
        </w:tc>
      </w:tr>
      <w:tr w:rsidR="00BC7794" w:rsidRPr="00BC7794" w:rsidTr="00BC7794">
        <w:trPr>
          <w:trHeight w:val="37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4"/>
                <w:szCs w:val="14"/>
              </w:rPr>
            </w:pPr>
            <w:r w:rsidRPr="00BC7794">
              <w:rPr>
                <w:rFonts w:ascii="Arial" w:eastAsia="Times New Roman" w:hAnsi="Arial" w:cs="Arial"/>
                <w:color w:val="000000"/>
                <w:sz w:val="14"/>
                <w:szCs w:val="14"/>
              </w:rPr>
              <w:t>Formuła</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 </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2018</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2 693 135,89</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1 023 756,40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445 000,00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495 000,00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300 500,00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250 000,00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r w:rsidR="00BC7794" w:rsidRPr="00BC7794" w:rsidTr="00BC7794">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center"/>
              <w:rPr>
                <w:rFonts w:ascii="Arial" w:eastAsia="Times New Roman" w:hAnsi="Arial" w:cs="Arial"/>
                <w:color w:val="000000"/>
                <w:sz w:val="12"/>
                <w:szCs w:val="12"/>
              </w:rPr>
            </w:pPr>
            <w:r w:rsidRPr="00BC7794">
              <w:rPr>
                <w:rFonts w:ascii="Arial" w:eastAsia="Times New Roman" w:hAnsi="Arial" w:cs="Arial"/>
                <w:color w:val="000000"/>
                <w:sz w:val="12"/>
                <w:szCs w:val="12"/>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BC7794" w:rsidRPr="00BC7794" w:rsidRDefault="00BC7794" w:rsidP="00BC7794">
            <w:pPr>
              <w:spacing w:after="0" w:line="240" w:lineRule="auto"/>
              <w:jc w:val="right"/>
              <w:rPr>
                <w:rFonts w:ascii="Arial" w:eastAsia="Times New Roman" w:hAnsi="Arial" w:cs="Arial"/>
                <w:color w:val="000000"/>
                <w:sz w:val="14"/>
                <w:szCs w:val="14"/>
              </w:rPr>
            </w:pPr>
            <w:r w:rsidRPr="00BC7794">
              <w:rPr>
                <w:rFonts w:ascii="Arial" w:eastAsia="Times New Roman" w:hAnsi="Arial" w:cs="Arial"/>
                <w:color w:val="000000"/>
                <w:sz w:val="14"/>
                <w:szCs w:val="14"/>
              </w:rPr>
              <w:t>0,00</w:t>
            </w:r>
          </w:p>
        </w:tc>
      </w:tr>
    </w:tbl>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Default="00BC7794" w:rsidP="00305EA7">
      <w:pPr>
        <w:spacing w:after="0" w:line="240" w:lineRule="auto"/>
        <w:rPr>
          <w:rFonts w:ascii="Times New Roman" w:eastAsia="Times New Roman" w:hAnsi="Times New Roman" w:cs="Times New Roman"/>
          <w:bCs/>
          <w:iCs/>
          <w:color w:val="000000"/>
          <w:sz w:val="16"/>
          <w:szCs w:val="16"/>
        </w:rPr>
      </w:pP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sidRPr="00BC7794">
        <w:rPr>
          <w:rFonts w:ascii="Times New Roman" w:eastAsia="Times New Roman" w:hAnsi="Times New Roman" w:cs="Times New Roman"/>
          <w:bCs/>
          <w:iCs/>
          <w:color w:val="000000"/>
          <w:sz w:val="16"/>
          <w:szCs w:val="16"/>
        </w:rPr>
        <w:t>wyłączeń</w:t>
      </w:r>
      <w:proofErr w:type="spellEnd"/>
      <w:r w:rsidRPr="00BC7794">
        <w:rPr>
          <w:rFonts w:ascii="Times New Roman" w:eastAsia="Times New Roman" w:hAnsi="Times New Roman" w:cs="Times New Roman"/>
          <w:bCs/>
          <w:iCs/>
          <w:color w:val="000000"/>
          <w:sz w:val="16"/>
          <w:szCs w:val="16"/>
        </w:rPr>
        <w:t xml:space="preserve"> zostanie automatycznie wygenerowana przez aplikację wskazaną przez Ministra Finansów, o której mowa w § 4 ust. 1 rozporządzenia Ministra Finansów z dnia 10 stycznia 2013 r. w sprawie wieloletniej prognozy finansowej jednostki samorządu terytorialnego (</w:t>
      </w:r>
      <w:proofErr w:type="spellStart"/>
      <w:r w:rsidRPr="00BC7794">
        <w:rPr>
          <w:rFonts w:ascii="Times New Roman" w:eastAsia="Times New Roman" w:hAnsi="Times New Roman" w:cs="Times New Roman"/>
          <w:bCs/>
          <w:iCs/>
          <w:color w:val="000000"/>
          <w:sz w:val="16"/>
          <w:szCs w:val="16"/>
        </w:rPr>
        <w:t>Dz</w:t>
      </w:r>
      <w:proofErr w:type="spellEnd"/>
      <w:r w:rsidRPr="00BC7794">
        <w:rPr>
          <w:rFonts w:ascii="Times New Roman" w:eastAsia="Times New Roman" w:hAnsi="Times New Roman" w:cs="Times New Roman"/>
          <w:bCs/>
          <w:iCs/>
          <w:color w:val="000000"/>
          <w:sz w:val="16"/>
          <w:szCs w:val="16"/>
        </w:rPr>
        <w:t xml:space="preserve"> U </w:t>
      </w:r>
      <w:proofErr w:type="spellStart"/>
      <w:r w:rsidRPr="00BC7794">
        <w:rPr>
          <w:rFonts w:ascii="Times New Roman" w:eastAsia="Times New Roman" w:hAnsi="Times New Roman" w:cs="Times New Roman"/>
          <w:bCs/>
          <w:iCs/>
          <w:color w:val="000000"/>
          <w:sz w:val="16"/>
          <w:szCs w:val="16"/>
        </w:rPr>
        <w:t>poz</w:t>
      </w:r>
      <w:proofErr w:type="spellEnd"/>
      <w:r w:rsidRPr="00BC7794">
        <w:rPr>
          <w:rFonts w:ascii="Times New Roman" w:eastAsia="Times New Roman" w:hAnsi="Times New Roman" w:cs="Times New Roman"/>
          <w:bCs/>
          <w:iCs/>
          <w:color w:val="000000"/>
          <w:sz w:val="16"/>
          <w:szCs w:val="16"/>
        </w:rPr>
        <w:t xml:space="preserve"> 86, z </w:t>
      </w:r>
      <w:proofErr w:type="spellStart"/>
      <w:r w:rsidRPr="00BC7794">
        <w:rPr>
          <w:rFonts w:ascii="Times New Roman" w:eastAsia="Times New Roman" w:hAnsi="Times New Roman" w:cs="Times New Roman"/>
          <w:bCs/>
          <w:iCs/>
          <w:color w:val="000000"/>
          <w:sz w:val="16"/>
          <w:szCs w:val="16"/>
        </w:rPr>
        <w:t>późn</w:t>
      </w:r>
      <w:proofErr w:type="spellEnd"/>
      <w:r w:rsidRPr="00BC7794">
        <w:rPr>
          <w:rFonts w:ascii="Times New Roman" w:eastAsia="Times New Roman" w:hAnsi="Times New Roman" w:cs="Times New Roman"/>
          <w:bCs/>
          <w:iCs/>
          <w:color w:val="000000"/>
          <w:sz w:val="16"/>
          <w:szCs w:val="16"/>
        </w:rPr>
        <w:t xml:space="preserve"> </w:t>
      </w:r>
      <w:proofErr w:type="spellStart"/>
      <w:r w:rsidRPr="00BC7794">
        <w:rPr>
          <w:rFonts w:ascii="Times New Roman" w:eastAsia="Times New Roman" w:hAnsi="Times New Roman" w:cs="Times New Roman"/>
          <w:bCs/>
          <w:iCs/>
          <w:color w:val="000000"/>
          <w:sz w:val="16"/>
          <w:szCs w:val="16"/>
        </w:rPr>
        <w:t>zm</w:t>
      </w:r>
      <w:proofErr w:type="spellEnd"/>
      <w:r w:rsidRPr="00BC7794">
        <w:rPr>
          <w:rFonts w:ascii="Times New Roman" w:eastAsia="Times New Roman" w:hAnsi="Times New Roman" w:cs="Times New Roman"/>
          <w:bCs/>
          <w:iCs/>
          <w:color w:val="000000"/>
          <w:sz w:val="16"/>
          <w:szCs w:val="16"/>
        </w:rPr>
        <w:t xml:space="preserve"> ). Automatyczne wyliczenia danych na podstawie wartości historycznych i prognozowanych przez jednostkę samorządu terytorialnego dotyczą w szczególności także poz. 9.6.-9.6.1 i pozycji z sekcji nr 16. </w:t>
      </w:r>
    </w:p>
    <w:p w:rsidR="00BC7794" w:rsidRP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r w:rsidRPr="00BC7794">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BC7794" w:rsidRDefault="00BC7794" w:rsidP="00BC7794">
      <w:pPr>
        <w:spacing w:after="0" w:line="240" w:lineRule="auto"/>
        <w:rPr>
          <w:rFonts w:ascii="Times New Roman" w:eastAsia="Times New Roman" w:hAnsi="Times New Roman" w:cs="Times New Roman"/>
          <w:bCs/>
          <w:iCs/>
          <w:color w:val="000000"/>
          <w:sz w:val="16"/>
          <w:szCs w:val="16"/>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2 do uchwały Nr  </w:t>
      </w:r>
      <w:r w:rsidR="002E6F98">
        <w:rPr>
          <w:rFonts w:ascii="Times New Roman" w:eastAsiaTheme="minorHAnsi" w:hAnsi="Times New Roman" w:cs="Times New Roman"/>
          <w:b/>
          <w:lang w:eastAsia="en-US"/>
        </w:rPr>
        <w:t>XXXVI</w:t>
      </w:r>
      <w:r w:rsidR="00CD4202">
        <w:rPr>
          <w:rFonts w:ascii="Times New Roman" w:eastAsiaTheme="minorHAnsi" w:hAnsi="Times New Roman" w:cs="Times New Roman"/>
          <w:b/>
          <w:lang w:eastAsia="en-US"/>
        </w:rPr>
        <w:t>I</w:t>
      </w:r>
      <w:r w:rsidR="002E6F98">
        <w:rPr>
          <w:rFonts w:ascii="Times New Roman" w:eastAsiaTheme="minorHAnsi" w:hAnsi="Times New Roman" w:cs="Times New Roman"/>
          <w:b/>
          <w:lang w:eastAsia="en-US"/>
        </w:rPr>
        <w:t>I.</w:t>
      </w:r>
      <w:r w:rsidR="00341CB7">
        <w:rPr>
          <w:rFonts w:ascii="Times New Roman" w:eastAsiaTheme="minorHAnsi" w:hAnsi="Times New Roman" w:cs="Times New Roman"/>
          <w:b/>
          <w:lang w:eastAsia="en-US"/>
        </w:rPr>
        <w:t>393</w:t>
      </w:r>
      <w:r w:rsidR="002E6F98">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8C40FA">
        <w:rPr>
          <w:rFonts w:ascii="Times New Roman" w:eastAsiaTheme="minorHAnsi" w:hAnsi="Times New Roman" w:cs="Times New Roman"/>
          <w:b/>
          <w:lang w:eastAsia="en-US"/>
        </w:rPr>
        <w:t>8</w:t>
      </w:r>
      <w:r w:rsidRPr="0076125E">
        <w:rPr>
          <w:rFonts w:ascii="Times New Roman" w:eastAsiaTheme="minorHAnsi" w:hAnsi="Times New Roman" w:cs="Times New Roman"/>
          <w:b/>
          <w:lang w:eastAsia="en-US"/>
        </w:rPr>
        <w:t xml:space="preserve">  Rady Gminy Złotów z dnia </w:t>
      </w:r>
      <w:r w:rsidR="00CD4202">
        <w:rPr>
          <w:rFonts w:ascii="Times New Roman" w:eastAsiaTheme="minorHAnsi" w:hAnsi="Times New Roman" w:cs="Times New Roman"/>
          <w:b/>
          <w:lang w:eastAsia="en-US"/>
        </w:rPr>
        <w:t xml:space="preserve">25 stycznia </w:t>
      </w:r>
      <w:r w:rsidR="008C40FA">
        <w:rPr>
          <w:rFonts w:ascii="Times New Roman" w:eastAsiaTheme="minorHAnsi" w:hAnsi="Times New Roman" w:cs="Times New Roman"/>
          <w:b/>
          <w:lang w:eastAsia="en-US"/>
        </w:rPr>
        <w:t xml:space="preserve">2018 r. </w:t>
      </w:r>
      <w:r w:rsidRPr="0076125E">
        <w:rPr>
          <w:rFonts w:ascii="Times New Roman" w:eastAsiaTheme="minorHAnsi" w:hAnsi="Times New Roman" w:cs="Times New Roman"/>
          <w:b/>
          <w:lang w:eastAsia="en-US"/>
        </w:rPr>
        <w:t xml:space="preserve">w sprawie </w:t>
      </w:r>
      <w:r w:rsidR="00CD4202">
        <w:rPr>
          <w:rFonts w:ascii="Times New Roman" w:eastAsiaTheme="minorHAnsi" w:hAnsi="Times New Roman" w:cs="Times New Roman"/>
          <w:b/>
          <w:lang w:eastAsia="en-US"/>
        </w:rPr>
        <w:t xml:space="preserve">zmian do uchwały w sprawie </w:t>
      </w:r>
      <w:r w:rsidRPr="0076125E">
        <w:rPr>
          <w:rFonts w:ascii="Times New Roman" w:eastAsiaTheme="minorHAnsi" w:hAnsi="Times New Roman" w:cs="Times New Roman"/>
          <w:b/>
          <w:lang w:eastAsia="en-US"/>
        </w:rPr>
        <w:t>uchwalenia Wieloletniej Prognozy Finansowej Gminy Złotów na lata 2018 - 2026.</w:t>
      </w:r>
    </w:p>
    <w:p w:rsidR="002028F3" w:rsidRDefault="002028F3" w:rsidP="001E7113">
      <w:pPr>
        <w:spacing w:after="0" w:line="240" w:lineRule="auto"/>
        <w:jc w:val="both"/>
        <w:rPr>
          <w:rFonts w:ascii="Times New Roman" w:eastAsiaTheme="minorHAnsi" w:hAnsi="Times New Roman" w:cs="Times New Roman"/>
          <w:b/>
          <w:lang w:eastAsia="en-US"/>
        </w:rPr>
      </w:pPr>
    </w:p>
    <w:tbl>
      <w:tblPr>
        <w:tblW w:w="13400" w:type="dxa"/>
        <w:jc w:val="center"/>
        <w:tblInd w:w="55" w:type="dxa"/>
        <w:tblCellMar>
          <w:left w:w="70" w:type="dxa"/>
          <w:right w:w="70" w:type="dxa"/>
        </w:tblCellMar>
        <w:tblLook w:val="04A0" w:firstRow="1" w:lastRow="0" w:firstColumn="1" w:lastColumn="0" w:noHBand="0" w:noVBand="1"/>
      </w:tblPr>
      <w:tblGrid>
        <w:gridCol w:w="646"/>
        <w:gridCol w:w="4072"/>
        <w:gridCol w:w="1183"/>
        <w:gridCol w:w="519"/>
        <w:gridCol w:w="519"/>
        <w:gridCol w:w="958"/>
        <w:gridCol w:w="1194"/>
        <w:gridCol w:w="1073"/>
        <w:gridCol w:w="1089"/>
        <w:gridCol w:w="1070"/>
        <w:gridCol w:w="1077"/>
      </w:tblGrid>
      <w:tr w:rsidR="00341CB7" w:rsidRPr="00341CB7" w:rsidTr="00341CB7">
        <w:trPr>
          <w:trHeight w:val="115"/>
          <w:jc w:val="center"/>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L.p.</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Nazwa i cel</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Jednostka odpowiedzialna lub koordynująca</w:t>
            </w:r>
          </w:p>
        </w:tc>
        <w:tc>
          <w:tcPr>
            <w:tcW w:w="10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Okres realizacji</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Łączne nakłady finansowe</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Limit 2018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Limit 2019</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Limit 2020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Limit 2021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Limit zobowiązań</w:t>
            </w:r>
          </w:p>
        </w:tc>
      </w:tr>
      <w:tr w:rsidR="00341CB7" w:rsidRPr="00341CB7" w:rsidTr="00341CB7">
        <w:trPr>
          <w:trHeight w:val="64"/>
          <w:jc w:val="center"/>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Od</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b/>
                <w:color w:val="000000"/>
                <w:sz w:val="14"/>
                <w:szCs w:val="14"/>
              </w:rPr>
            </w:pPr>
            <w:r w:rsidRPr="00341CB7">
              <w:rPr>
                <w:rFonts w:ascii="Arial" w:eastAsia="Times New Roman" w:hAnsi="Arial" w:cs="Arial"/>
                <w:b/>
                <w:color w:val="000000"/>
                <w:sz w:val="14"/>
                <w:szCs w:val="14"/>
              </w:rPr>
              <w:t>Do</w:t>
            </w:r>
          </w:p>
        </w:tc>
        <w:tc>
          <w:tcPr>
            <w:tcW w:w="960" w:type="dxa"/>
            <w:vMerge/>
            <w:tcBorders>
              <w:top w:val="nil"/>
              <w:left w:val="nil"/>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341CB7" w:rsidRPr="00341CB7" w:rsidRDefault="00341CB7" w:rsidP="00341CB7">
            <w:pPr>
              <w:spacing w:after="0" w:line="240" w:lineRule="auto"/>
              <w:rPr>
                <w:rFonts w:ascii="Arial" w:eastAsia="Times New Roman" w:hAnsi="Arial" w:cs="Arial"/>
                <w:b/>
                <w:color w:val="000000"/>
                <w:sz w:val="14"/>
                <w:szCs w:val="14"/>
              </w:rPr>
            </w:pP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Wydatki na przedsięwzięcia-ogółem (1.1+1.2+1.3)</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11 191 187,38</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8 141 648,18</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5 352 991,42</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1.a</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1 196 059,00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633 663,00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33 355,00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1.b</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9 995 128,38</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7 507 985,18</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5 319 636,42</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341CB7">
              <w:rPr>
                <w:rFonts w:ascii="Arial" w:eastAsia="Times New Roman" w:hAnsi="Arial" w:cs="Arial"/>
                <w:color w:val="000000"/>
                <w:sz w:val="14"/>
                <w:szCs w:val="14"/>
              </w:rPr>
              <w:t>Dz.U.Nr</w:t>
            </w:r>
            <w:proofErr w:type="spellEnd"/>
            <w:r w:rsidRPr="00341CB7">
              <w:rPr>
                <w:rFonts w:ascii="Arial" w:eastAsia="Times New Roman" w:hAnsi="Arial" w:cs="Arial"/>
                <w:color w:val="000000"/>
                <w:sz w:val="14"/>
                <w:szCs w:val="14"/>
              </w:rPr>
              <w:t xml:space="preserve"> 157, poz.1240,z późn.zm.),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3 957 400,83</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2 181 618,70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42 341,94</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1.1.1</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44 130,00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3 000,00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3 000,00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1.1.1.1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44 130,00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3 000,00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1.1.2</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3 913 270,83</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2 178 618,70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39 341,94</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1.1.2.1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w m. Buntowo i Bługowo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1 584 745,43</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939 644,30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162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1.1.2.2</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2004</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2 328 525,40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1 238 974,40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39 341,94</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1.2</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Wydatki na programy, projekty lub zadania związane z umowami partnerstwa publiczno-prywatnego, 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1.2.1</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1.2.2</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Wydatki na programy, projekty lub zadania pozostałe (inne niż wymienione w pkt 1.1 i 1.2),z tego</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7 233 786,55</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5 960 029,48</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5 310 649,48</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bieżące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1 151 929,00</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630 663,00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66 800,00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30 355,00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Sporządzenie MPZP dla rozwoju zabudowy na terenie Gminy Złotów - umożliwienie rozwoju zabudowy na terenie Gminy Złotów ograniczonej obowiązującym miejscowym planem</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54 120,00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27 060,00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529"/>
          <w:jc w:val="center"/>
        </w:trPr>
        <w:tc>
          <w:tcPr>
            <w:tcW w:w="620" w:type="dxa"/>
            <w:tcBorders>
              <w:top w:val="nil"/>
              <w:left w:val="single" w:sz="4" w:space="0" w:color="000000"/>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1.3.1.2</w:t>
            </w:r>
          </w:p>
        </w:tc>
        <w:tc>
          <w:tcPr>
            <w:tcW w:w="41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Sporządzenie MPZP Gminy Złotów w obrębie miejscowości Blękwit - umożliwienie rozwoju zabudowy w obrębie miejscowości Blękwit ograniczonej obowiązującym miejscowym planem</w:t>
            </w:r>
          </w:p>
        </w:tc>
        <w:tc>
          <w:tcPr>
            <w:tcW w:w="112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24 969,00</w:t>
            </w:r>
          </w:p>
        </w:tc>
        <w:tc>
          <w:tcPr>
            <w:tcW w:w="120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18 819,00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529"/>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lastRenderedPageBreak/>
              <w:t>1.3.1.3</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Ubezpieczenie mienia i odpowiedzialności cywilnej w Gminie Złotów w latach 2017-2019 - Ubezpieczenie mienia i odpowiedzialności cywilnej w Gminie Złotów</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2019</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200 429,00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66 050,00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66 050,00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14 100,00</w:t>
            </w:r>
          </w:p>
        </w:tc>
      </w:tr>
      <w:tr w:rsidR="00341CB7" w:rsidRPr="00341CB7" w:rsidTr="00341CB7">
        <w:trPr>
          <w:trHeight w:val="683"/>
          <w:jc w:val="center"/>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1.3.1.4</w:t>
            </w:r>
          </w:p>
        </w:tc>
        <w:tc>
          <w:tcPr>
            <w:tcW w:w="4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Zorganizowany dowóz do szkół w roku szkolnym 2017/2018 - Zapewnienie realizacji zadania własnego gminy polegającego na dowożeniu uczniów do szkół, zapewnienie bezpieczeństwa uczniom w czasie dowozu</w:t>
            </w:r>
          </w:p>
        </w:tc>
        <w:tc>
          <w:tcPr>
            <w:tcW w:w="1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692 391,00</w:t>
            </w:r>
          </w:p>
        </w:tc>
        <w:tc>
          <w:tcPr>
            <w:tcW w:w="12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414 214,00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1.3.1.5</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27 500,00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27 500,00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15 000,00</w:t>
            </w:r>
          </w:p>
        </w:tc>
      </w:tr>
      <w:tr w:rsidR="00341CB7" w:rsidRPr="00341CB7" w:rsidTr="00341CB7">
        <w:trPr>
          <w:trHeight w:val="683"/>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1.3.1.6</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2019</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2 250,00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750,00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750,00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1 255,00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1.3.1.7</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Sporządzenie MPZP Gminy Złotów w obrębie ewidencyjnym Dzierzążenko - </w:t>
            </w:r>
            <w:proofErr w:type="spellStart"/>
            <w:r w:rsidRPr="00341CB7">
              <w:rPr>
                <w:rFonts w:ascii="Arial" w:eastAsia="Times New Roman" w:hAnsi="Arial" w:cs="Arial"/>
                <w:color w:val="000000"/>
                <w:sz w:val="14"/>
                <w:szCs w:val="14"/>
              </w:rPr>
              <w:t>Wielatowo</w:t>
            </w:r>
            <w:proofErr w:type="spellEnd"/>
            <w:r w:rsidRPr="00341CB7">
              <w:rPr>
                <w:rFonts w:ascii="Arial" w:eastAsia="Times New Roman" w:hAnsi="Arial" w:cs="Arial"/>
                <w:color w:val="000000"/>
                <w:sz w:val="14"/>
                <w:szCs w:val="14"/>
              </w:rPr>
              <w:t xml:space="preserve"> - umożliwienie rozwoju usługowo-przemysłowego oraz mieszkaniowego na terenie Gminy Złotów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30 750,00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30 750,00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683"/>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1.3.1.8</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29 520,00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29 520,00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1.3.1.9</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Obsługa geodezyjna Gminy Złotów - sporządzanie dokumentacji geodezyjnej dotyczącej oznaczenia nieruchomości</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90 000,00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16 000,00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214"/>
          <w:jc w:val="center"/>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w:t>
            </w:r>
          </w:p>
        </w:tc>
        <w:tc>
          <w:tcPr>
            <w:tcW w:w="6280"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wydatki majątkowe</w:t>
            </w:r>
          </w:p>
        </w:tc>
        <w:tc>
          <w:tcPr>
            <w:tcW w:w="96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6 081 857,55</w:t>
            </w:r>
          </w:p>
        </w:tc>
        <w:tc>
          <w:tcPr>
            <w:tcW w:w="120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5 329 366,48</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D3D3D3"/>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5 280 294,48</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ścieżki pieszo-rowerowej Stawnica-Złotów - Poprawa warunków komunikacyjnych</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249 872,00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10 000,00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Zagospodarowanie parku i boiska sportowego w m. Górzna  - Stworzenie miejsca umożliwiającego integrację mieszkańców wsi, poprawa warunków życia mieszkańców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50 440,06</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8 258,06</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8 258,06</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1.3.2.3</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Zagospodarowanie terenu amfiteatru w Świętej - Stworzenie miejsca umożliwiającego integrację mieszkańców wsi, poprawa warunków życia mieszkańców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73 481,00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4 448,00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4 448,00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1.3.2.4</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Zagospodarowanie terenu przy sali wiejskiej w Kleszczynie wraz z budową wiaty - Stworzenie miejsca umożliwiającego integrację mieszkańców wsi, poprawa warunków życia mieszkańców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2015</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70 409,00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11 200,00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11 200,00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1.3.2.5</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Zagospodarowanie działki nr 34 w m. Płosków - Stworzenie miejsca umożliwiającego integrację mieszkańców wsi, poprawa warunków życia mieszkańców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23 918,42</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10 496,42</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10 496,42</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1.3.2.6</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szatni sportowej - budynku sanitarno-gospodarczego w Rudnej - Rozwój infrastruktury sportowo-rekreacyjnej, wzrost roli sportu jako czynnika stymulującego rozwój </w:t>
            </w:r>
            <w:proofErr w:type="spellStart"/>
            <w:r w:rsidRPr="00341CB7">
              <w:rPr>
                <w:rFonts w:ascii="Arial" w:eastAsia="Times New Roman" w:hAnsi="Arial" w:cs="Arial"/>
                <w:color w:val="000000"/>
                <w:sz w:val="14"/>
                <w:szCs w:val="14"/>
              </w:rPr>
              <w:t>społeczno</w:t>
            </w:r>
            <w:proofErr w:type="spellEnd"/>
            <w:r w:rsidRPr="00341CB7">
              <w:rPr>
                <w:rFonts w:ascii="Arial" w:eastAsia="Times New Roman" w:hAnsi="Arial" w:cs="Arial"/>
                <w:color w:val="000000"/>
                <w:sz w:val="14"/>
                <w:szCs w:val="14"/>
              </w:rPr>
              <w:t xml:space="preserve"> - kulturalny sołectwa</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67 000,00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r>
      <w:tr w:rsidR="00341CB7" w:rsidRPr="00341CB7" w:rsidTr="00341CB7">
        <w:trPr>
          <w:trHeight w:val="840"/>
          <w:jc w:val="center"/>
        </w:trPr>
        <w:tc>
          <w:tcPr>
            <w:tcW w:w="620" w:type="dxa"/>
            <w:tcBorders>
              <w:top w:val="nil"/>
              <w:left w:val="single" w:sz="4" w:space="0" w:color="000000"/>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1.3.2.7</w:t>
            </w:r>
          </w:p>
        </w:tc>
        <w:tc>
          <w:tcPr>
            <w:tcW w:w="41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2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1 400 000,00</w:t>
            </w:r>
          </w:p>
        </w:tc>
        <w:tc>
          <w:tcPr>
            <w:tcW w:w="120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1 400 000,00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1 400 000,00</w:t>
            </w:r>
          </w:p>
        </w:tc>
      </w:tr>
      <w:tr w:rsidR="00341CB7" w:rsidRPr="00341CB7" w:rsidTr="00341CB7">
        <w:trPr>
          <w:trHeight w:val="529"/>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lastRenderedPageBreak/>
              <w:t>1.3.2.8</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Modernizacja sali wiejskiej w m. Nowy Dwór - stworzenie miejsca o predyspozycjach gwarantujących pobudzenie aktywności i integracji jego mieszkańców poprzez modernizację sali wiejskiej</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586 839,07</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560 000,00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560 000,00</w:t>
            </w:r>
          </w:p>
        </w:tc>
      </w:tr>
      <w:tr w:rsidR="00341CB7" w:rsidRPr="00341CB7" w:rsidTr="00341CB7">
        <w:trPr>
          <w:trHeight w:val="529"/>
          <w:jc w:val="center"/>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1.3.2.9</w:t>
            </w:r>
          </w:p>
        </w:tc>
        <w:tc>
          <w:tcPr>
            <w:tcW w:w="4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Dzierzążenko (dz. nr 114/7)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58 210,00</w:t>
            </w:r>
          </w:p>
        </w:tc>
        <w:tc>
          <w:tcPr>
            <w:tcW w:w="12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1.3.2.10</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Dzierzążenko (dz. nr 400/70)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313 000,00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300 000,00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300 000,00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wodociągowej i kanalizacji sanitarnej w m. Kamień (dz. nr 230) - poprawa stanu środowiska naturalnego, czystości wód i gleby, rozwiązanie problemu standardu życia mieszkańców</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62 270,00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54 672,00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54 672,00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1.3.2.12</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Międzybłocie (dz. nr 511/12)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44 900,00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40 000,00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1.3.2.13</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Nowa Święta (dz. nr 170/4)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65 000,00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60 000,00</w:t>
            </w:r>
          </w:p>
        </w:tc>
      </w:tr>
      <w:tr w:rsidR="00341CB7" w:rsidRPr="00341CB7" w:rsidTr="00341CB7">
        <w:trPr>
          <w:trHeight w:val="529"/>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1.3.2.14</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Nowa Święta ("J. </w:t>
            </w:r>
            <w:proofErr w:type="spellStart"/>
            <w:r w:rsidRPr="00341CB7">
              <w:rPr>
                <w:rFonts w:ascii="Arial" w:eastAsia="Times New Roman" w:hAnsi="Arial" w:cs="Arial"/>
                <w:color w:val="000000"/>
                <w:sz w:val="14"/>
                <w:szCs w:val="14"/>
              </w:rPr>
              <w:t>Śmiardowskie</w:t>
            </w:r>
            <w:proofErr w:type="spellEnd"/>
            <w:r w:rsidRPr="00341CB7">
              <w:rPr>
                <w:rFonts w:ascii="Arial" w:eastAsia="Times New Roman" w:hAnsi="Arial" w:cs="Arial"/>
                <w:color w:val="000000"/>
                <w:sz w:val="14"/>
                <w:szCs w:val="14"/>
              </w:rPr>
              <w:t xml:space="preserve">")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100 000,00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75 000,00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75 000,00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1.3.2.15</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1 525 000,00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1 488 000,00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1 487 501,00</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1.3.2.16</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Przebudowa drogi w kierunku wiaduktu w m. Międzybłocie - Poprawa infrastruktury drogowej w gminie</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78 014,00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58 573,00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10 000,00</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1.3.2.17</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Wykonanie odwodnienia drogi gminnej w centrum wsi Bługowo - Poprawa infrastruktury drogowej w gminie</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56 000,00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50 000,00</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1.3.2.18</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oświetlenia w m. Grudna i Radawnica - Zapewnienie bezpieczeństwa mieszkańców i uczestników ruchu drogowego</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26 000,00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14 000,00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14 000,00</w:t>
            </w:r>
          </w:p>
        </w:tc>
      </w:tr>
      <w:tr w:rsidR="00341CB7" w:rsidRPr="00341CB7" w:rsidTr="00341CB7">
        <w:trPr>
          <w:trHeight w:val="372"/>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1.3.2.19</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oświetlenia w m. Międzybłocie - Zapewnienie bezpieczeństwa mieszkańców i uczestników ruchu drogowego</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93 700,00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40 000,00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1.3.2.20</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Grodno - Krzywa Wieś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24 000,00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4 000,00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1.3.2.21</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40 000,00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8 000,00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8 000,00</w:t>
            </w:r>
          </w:p>
        </w:tc>
      </w:tr>
      <w:tr w:rsidR="00341CB7" w:rsidRPr="00341CB7" w:rsidTr="00341CB7">
        <w:trPr>
          <w:trHeight w:val="529"/>
          <w:jc w:val="center"/>
        </w:trPr>
        <w:tc>
          <w:tcPr>
            <w:tcW w:w="620" w:type="dxa"/>
            <w:tcBorders>
              <w:top w:val="nil"/>
              <w:left w:val="single" w:sz="4" w:space="0" w:color="000000"/>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1.3.2.22</w:t>
            </w:r>
          </w:p>
        </w:tc>
        <w:tc>
          <w:tcPr>
            <w:tcW w:w="41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 xml:space="preserve">Budowa sieci wodociągowej w m. Blękwit (dz. nr 3/2) - zapewnienie mieszkańcom domków jednorodzinnych dostępu do wody </w:t>
            </w:r>
            <w:proofErr w:type="spellStart"/>
            <w:r w:rsidRPr="00341CB7">
              <w:rPr>
                <w:rFonts w:ascii="Arial" w:eastAsia="Times New Roman" w:hAnsi="Arial" w:cs="Arial"/>
                <w:color w:val="000000"/>
                <w:sz w:val="14"/>
                <w:szCs w:val="14"/>
              </w:rPr>
              <w:t>odopowiedniej</w:t>
            </w:r>
            <w:proofErr w:type="spellEnd"/>
            <w:r w:rsidRPr="00341CB7">
              <w:rPr>
                <w:rFonts w:ascii="Arial" w:eastAsia="Times New Roman" w:hAnsi="Arial" w:cs="Arial"/>
                <w:color w:val="000000"/>
                <w:sz w:val="14"/>
                <w:szCs w:val="14"/>
              </w:rPr>
              <w:t xml:space="preserve"> jakości, rozbudowa infrastruktury wodociągowej</w:t>
            </w:r>
          </w:p>
        </w:tc>
        <w:tc>
          <w:tcPr>
            <w:tcW w:w="112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2017</w:t>
            </w:r>
          </w:p>
        </w:tc>
        <w:tc>
          <w:tcPr>
            <w:tcW w:w="52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29 019,00</w:t>
            </w:r>
          </w:p>
        </w:tc>
        <w:tc>
          <w:tcPr>
            <w:tcW w:w="120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25 519,00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auto"/>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25 519,00</w:t>
            </w:r>
          </w:p>
        </w:tc>
      </w:tr>
      <w:tr w:rsidR="00341CB7" w:rsidRPr="00341CB7" w:rsidTr="00341CB7">
        <w:trPr>
          <w:trHeight w:val="840"/>
          <w:jc w:val="center"/>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lastRenderedPageBreak/>
              <w:t>1.3.2.23</w:t>
            </w:r>
          </w:p>
        </w:tc>
        <w:tc>
          <w:tcPr>
            <w:tcW w:w="4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w m. Dzierzążenko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r>
      <w:tr w:rsidR="00341CB7" w:rsidRPr="00341CB7" w:rsidTr="00341CB7">
        <w:trPr>
          <w:trHeight w:val="372"/>
          <w:jc w:val="center"/>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1.3.2.24</w:t>
            </w:r>
          </w:p>
        </w:tc>
        <w:tc>
          <w:tcPr>
            <w:tcW w:w="4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drogi na osiedlu szkolnym w m. Zalesie - Poprawa infrastruktury drogowej w gminie</w:t>
            </w:r>
          </w:p>
        </w:tc>
        <w:tc>
          <w:tcPr>
            <w:tcW w:w="11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28 105,00</w:t>
            </w:r>
          </w:p>
        </w:tc>
        <w:tc>
          <w:tcPr>
            <w:tcW w:w="12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7 200,00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single" w:sz="4" w:space="0" w:color="auto"/>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7 200,00</w:t>
            </w:r>
          </w:p>
        </w:tc>
      </w:tr>
      <w:tr w:rsidR="00341CB7" w:rsidRPr="00341CB7" w:rsidTr="00341CB7">
        <w:trPr>
          <w:trHeight w:val="840"/>
          <w:jc w:val="center"/>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1.3.2.25</w:t>
            </w:r>
          </w:p>
        </w:tc>
        <w:tc>
          <w:tcPr>
            <w:tcW w:w="41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rPr>
                <w:rFonts w:ascii="Arial" w:eastAsia="Times New Roman" w:hAnsi="Arial" w:cs="Arial"/>
                <w:color w:val="000000"/>
                <w:sz w:val="14"/>
                <w:szCs w:val="14"/>
              </w:rPr>
            </w:pPr>
            <w:r w:rsidRPr="00341CB7">
              <w:rPr>
                <w:rFonts w:ascii="Arial" w:eastAsia="Times New Roman" w:hAnsi="Arial" w:cs="Arial"/>
                <w:color w:val="000000"/>
                <w:sz w:val="14"/>
                <w:szCs w:val="14"/>
              </w:rPr>
              <w:t>Budowa sieci kanalizacji sanitarnej i deszczowej w m. Dzierzążenko (ul. Jerozolimska) - Poprawa stanu środowiska naturalnego, czystości wód i gleby dzięki redukcji ładunku zanieczyszczeń wprowadzanych do środowiska, co osiągnięte zostanie poprzez eliminacje niekontrolowanego odprowadzania ścieków do wód czy gruntu.</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Urząd Gminy Złotów</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2016</w:t>
            </w:r>
          </w:p>
        </w:tc>
        <w:tc>
          <w:tcPr>
            <w:tcW w:w="52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center"/>
              <w:rPr>
                <w:rFonts w:ascii="Arial" w:eastAsia="Times New Roman" w:hAnsi="Arial" w:cs="Arial"/>
                <w:color w:val="000000"/>
                <w:sz w:val="14"/>
                <w:szCs w:val="14"/>
              </w:rPr>
            </w:pPr>
            <w:r w:rsidRPr="00341CB7">
              <w:rPr>
                <w:rFonts w:ascii="Arial" w:eastAsia="Times New Roman" w:hAnsi="Arial" w:cs="Arial"/>
                <w:color w:val="000000"/>
                <w:sz w:val="14"/>
                <w:szCs w:val="14"/>
              </w:rPr>
              <w:t>2018</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1 016 680,00</w:t>
            </w:r>
          </w:p>
        </w:tc>
        <w:tc>
          <w:tcPr>
            <w:tcW w:w="120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1 000 000,00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0,00</w:t>
            </w:r>
          </w:p>
        </w:tc>
        <w:tc>
          <w:tcPr>
            <w:tcW w:w="1080" w:type="dxa"/>
            <w:tcBorders>
              <w:top w:val="nil"/>
              <w:left w:val="nil"/>
              <w:bottom w:val="single" w:sz="4" w:space="0" w:color="000000"/>
              <w:right w:val="single" w:sz="4" w:space="0" w:color="000000"/>
            </w:tcBorders>
            <w:shd w:val="clear" w:color="000000" w:fill="FFFFFF"/>
            <w:vAlign w:val="center"/>
            <w:hideMark/>
          </w:tcPr>
          <w:p w:rsidR="00341CB7" w:rsidRPr="00341CB7" w:rsidRDefault="00341CB7" w:rsidP="00341CB7">
            <w:pPr>
              <w:spacing w:after="0" w:line="240" w:lineRule="auto"/>
              <w:jc w:val="right"/>
              <w:rPr>
                <w:rFonts w:ascii="Arial" w:eastAsia="Times New Roman" w:hAnsi="Arial" w:cs="Arial"/>
                <w:color w:val="000000"/>
                <w:sz w:val="12"/>
                <w:szCs w:val="12"/>
              </w:rPr>
            </w:pPr>
            <w:r w:rsidRPr="00341CB7">
              <w:rPr>
                <w:rFonts w:ascii="Arial" w:eastAsia="Times New Roman" w:hAnsi="Arial" w:cs="Arial"/>
                <w:color w:val="000000"/>
                <w:sz w:val="12"/>
                <w:szCs w:val="12"/>
              </w:rPr>
              <w:t>1 000 000,00</w:t>
            </w:r>
          </w:p>
        </w:tc>
      </w:tr>
    </w:tbl>
    <w:p w:rsidR="00341CB7" w:rsidRDefault="00341CB7" w:rsidP="001E7113">
      <w:pPr>
        <w:spacing w:after="0" w:line="240" w:lineRule="auto"/>
        <w:jc w:val="both"/>
        <w:rPr>
          <w:rFonts w:ascii="Times New Roman" w:eastAsiaTheme="minorHAnsi" w:hAnsi="Times New Roman" w:cs="Times New Roman"/>
          <w:b/>
          <w:lang w:eastAsia="en-US"/>
        </w:rPr>
      </w:pPr>
    </w:p>
    <w:p w:rsidR="00341CB7" w:rsidRDefault="00341CB7" w:rsidP="001E7113">
      <w:pPr>
        <w:spacing w:after="0" w:line="240" w:lineRule="auto"/>
        <w:jc w:val="both"/>
        <w:rPr>
          <w:rFonts w:ascii="Times New Roman" w:eastAsiaTheme="minorHAnsi" w:hAnsi="Times New Roman" w:cs="Times New Roman"/>
          <w:b/>
          <w:lang w:eastAsia="en-US"/>
        </w:rPr>
      </w:pPr>
    </w:p>
    <w:p w:rsidR="00341CB7" w:rsidRDefault="00341CB7" w:rsidP="001E7113">
      <w:pPr>
        <w:spacing w:after="0" w:line="240" w:lineRule="auto"/>
        <w:jc w:val="both"/>
        <w:rPr>
          <w:rFonts w:ascii="Times New Roman" w:eastAsiaTheme="minorHAnsi" w:hAnsi="Times New Roman" w:cs="Times New Roman"/>
          <w:b/>
          <w:lang w:eastAsia="en-US"/>
        </w:rPr>
      </w:pPr>
    </w:p>
    <w:p w:rsidR="00341CB7" w:rsidRDefault="00341CB7" w:rsidP="001E7113">
      <w:pPr>
        <w:spacing w:after="0" w:line="240" w:lineRule="auto"/>
        <w:jc w:val="both"/>
        <w:rPr>
          <w:rFonts w:ascii="Times New Roman" w:eastAsiaTheme="minorHAnsi" w:hAnsi="Times New Roman" w:cs="Times New Roman"/>
          <w:b/>
          <w:lang w:eastAsia="en-US"/>
        </w:rPr>
      </w:pPr>
    </w:p>
    <w:p w:rsidR="00CD4202" w:rsidRDefault="00CD4202" w:rsidP="001E7113">
      <w:pPr>
        <w:spacing w:after="0" w:line="240" w:lineRule="auto"/>
        <w:jc w:val="both"/>
        <w:rPr>
          <w:rFonts w:ascii="Times New Roman" w:eastAsiaTheme="minorHAnsi" w:hAnsi="Times New Roman" w:cs="Times New Roman"/>
          <w:b/>
          <w:lang w:eastAsia="en-US"/>
        </w:rPr>
      </w:pPr>
    </w:p>
    <w:p w:rsidR="00CD4202" w:rsidRDefault="00CD4202" w:rsidP="001E7113">
      <w:pPr>
        <w:spacing w:after="0" w:line="240" w:lineRule="auto"/>
        <w:jc w:val="both"/>
        <w:rPr>
          <w:rFonts w:ascii="Times New Roman" w:eastAsiaTheme="minorHAnsi" w:hAnsi="Times New Roman" w:cs="Times New Roman"/>
          <w:b/>
          <w:lang w:eastAsia="en-US"/>
        </w:rPr>
      </w:pPr>
    </w:p>
    <w:p w:rsidR="00CD4202" w:rsidRDefault="00CD4202" w:rsidP="001E7113">
      <w:pPr>
        <w:spacing w:after="0" w:line="240" w:lineRule="auto"/>
        <w:jc w:val="both"/>
        <w:rPr>
          <w:rFonts w:ascii="Times New Roman" w:eastAsiaTheme="minorHAnsi" w:hAnsi="Times New Roman" w:cs="Times New Roman"/>
          <w:b/>
          <w:lang w:eastAsia="en-US"/>
        </w:rPr>
      </w:pPr>
    </w:p>
    <w:p w:rsidR="0076125E" w:rsidRPr="0076125E" w:rsidRDefault="0076125E" w:rsidP="001E7113">
      <w:pPr>
        <w:spacing w:after="0" w:line="240" w:lineRule="auto"/>
        <w:jc w:val="both"/>
        <w:rPr>
          <w:rFonts w:ascii="Times New Roman" w:eastAsiaTheme="minorHAnsi" w:hAnsi="Times New Roman" w:cs="Times New Roman"/>
          <w:b/>
          <w:sz w:val="16"/>
          <w:szCs w:val="16"/>
          <w:lang w:eastAsia="en-US"/>
        </w:rPr>
      </w:pPr>
    </w:p>
    <w:p w:rsidR="001E7113" w:rsidRPr="0076125E" w:rsidRDefault="001E7113" w:rsidP="00256972">
      <w:pPr>
        <w:rPr>
          <w:b/>
        </w:rPr>
        <w:sectPr w:rsidR="001E7113" w:rsidRPr="0076125E" w:rsidSect="00407BC7">
          <w:pgSz w:w="15840" w:h="11894" w:orient="landscape"/>
          <w:pgMar w:top="1247" w:right="1418" w:bottom="1247" w:left="1440" w:header="709" w:footer="709" w:gutter="0"/>
          <w:cols w:space="708"/>
          <w:noEndnote/>
        </w:sect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4A73E0">
        <w:rPr>
          <w:rFonts w:ascii="Times New Roman" w:hAnsi="Times New Roman" w:cs="Times New Roman"/>
          <w:b/>
          <w:bCs/>
        </w:rPr>
        <w:lastRenderedPageBreak/>
        <w:t>Objaśnienia do uchwały Nr XXXVIII.</w:t>
      </w:r>
      <w:r w:rsidR="00037C6F">
        <w:rPr>
          <w:rFonts w:ascii="Times New Roman" w:hAnsi="Times New Roman" w:cs="Times New Roman"/>
          <w:b/>
          <w:bCs/>
        </w:rPr>
        <w:t>393</w:t>
      </w:r>
      <w:r w:rsidRPr="004A73E0">
        <w:rPr>
          <w:rFonts w:ascii="Times New Roman" w:hAnsi="Times New Roman" w:cs="Times New Roman"/>
          <w:b/>
          <w:bCs/>
        </w:rPr>
        <w:t>.2018</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4A73E0">
        <w:rPr>
          <w:rFonts w:ascii="Times New Roman" w:hAnsi="Times New Roman" w:cs="Times New Roman"/>
          <w:b/>
          <w:bCs/>
        </w:rPr>
        <w:t>Rady Gminy Złotów z dnia 25 stycznia 2018 r.</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4A73E0">
        <w:rPr>
          <w:rFonts w:ascii="Times New Roman" w:hAnsi="Times New Roman" w:cs="Times New Roman"/>
          <w:b/>
          <w:bCs/>
        </w:rPr>
        <w:t>w sprawie wprowadzenia zmian do uchwały w sprawie uchwalenia Wieloletniej Prognozy Finansowej Gminy Złotów na lata 2018 – 2026</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r w:rsidRPr="004A73E0">
        <w:rPr>
          <w:rFonts w:ascii="Times New Roman" w:hAnsi="Times New Roman" w:cs="Times New Roman"/>
          <w:b/>
          <w:bCs/>
        </w:rPr>
        <w:t>Załącznik Nr 1 – Wieloletnia Prognoza Finansowa na lata 2018-2026</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r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A73E0">
        <w:rPr>
          <w:rFonts w:ascii="Times New Roman" w:hAnsi="Times New Roman" w:cs="Times New Roman"/>
        </w:rPr>
        <w:t>Dla celów zachowania zgodności pomiędzy uchwałą budżetową na rok 2018, a Wieloletnią Prognozą Finansową w zakresie roku 2018 w odpowiednich pozycjach Wieloletniej Prognozy Finansowej wprowadzono zmiany wynikające ze zmian wprowadzonych do uchwały budżetowej uchwałą Rady Gminy Złotów Nr XXXVIII.</w:t>
      </w:r>
      <w:r w:rsidR="004F11C2">
        <w:rPr>
          <w:rFonts w:ascii="Times New Roman" w:hAnsi="Times New Roman" w:cs="Times New Roman"/>
        </w:rPr>
        <w:t>394</w:t>
      </w:r>
      <w:r w:rsidRPr="004A73E0">
        <w:rPr>
          <w:rFonts w:ascii="Times New Roman" w:hAnsi="Times New Roman" w:cs="Times New Roman"/>
        </w:rPr>
        <w:t>.2018 z dnia 25</w:t>
      </w:r>
      <w:r w:rsidR="004F11C2">
        <w:rPr>
          <w:rFonts w:ascii="Times New Roman" w:hAnsi="Times New Roman" w:cs="Times New Roman"/>
        </w:rPr>
        <w:t xml:space="preserve"> stycznia </w:t>
      </w:r>
      <w:r w:rsidRPr="004A73E0">
        <w:rPr>
          <w:rFonts w:ascii="Times New Roman" w:hAnsi="Times New Roman" w:cs="Times New Roman"/>
        </w:rPr>
        <w:t>201</w:t>
      </w:r>
      <w:r>
        <w:rPr>
          <w:rFonts w:ascii="Times New Roman" w:hAnsi="Times New Roman" w:cs="Times New Roman"/>
        </w:rPr>
        <w:t>8</w:t>
      </w:r>
      <w:r w:rsidRPr="004A73E0">
        <w:rPr>
          <w:rFonts w:ascii="Times New Roman" w:hAnsi="Times New Roman" w:cs="Times New Roman"/>
        </w:rPr>
        <w:t xml:space="preserve"> r.</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A73E0">
        <w:rPr>
          <w:rFonts w:ascii="Times New Roman" w:hAnsi="Times New Roman" w:cs="Times New Roman"/>
        </w:rPr>
        <w:t>Zmienione zostały planowane kwoty wydatków</w:t>
      </w:r>
      <w:r w:rsidRPr="004A73E0">
        <w:rPr>
          <w:rFonts w:ascii="Times New Roman" w:hAnsi="Times New Roman" w:cs="Times New Roman"/>
          <w:b/>
          <w:bCs/>
        </w:rPr>
        <w:t xml:space="preserve">, </w:t>
      </w:r>
      <w:r w:rsidRPr="004A73E0">
        <w:rPr>
          <w:rFonts w:ascii="Times New Roman" w:hAnsi="Times New Roman" w:cs="Times New Roman"/>
        </w:rPr>
        <w:t>z tego:</w:t>
      </w:r>
    </w:p>
    <w:p w:rsidR="004A73E0" w:rsidRPr="004A73E0" w:rsidRDefault="004A73E0" w:rsidP="004A73E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hAnsi="Times New Roman" w:cs="Times New Roman"/>
        </w:rPr>
      </w:pPr>
      <w:r w:rsidRPr="004A73E0">
        <w:rPr>
          <w:rFonts w:ascii="Times New Roman" w:hAnsi="Times New Roman" w:cs="Times New Roman"/>
        </w:rPr>
        <w:t>- wydatków bieżących       – zmniejszenie o kwotę 112.000 zł, to jest do kwoty 35.276.948,61 zł,</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r w:rsidRPr="004A73E0">
        <w:rPr>
          <w:rFonts w:ascii="Times New Roman" w:hAnsi="Times New Roman" w:cs="Times New Roman"/>
        </w:rPr>
        <w:t xml:space="preserve">- wydatków majątkowych – zwiększenie   o kwotę 112.000 zł, to jest do kwoty 11.346.593,64 zł. </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 xml:space="preserve">Różnica między dochodami bieżącymi a wydatkami bieżącymi (art. 242 ustawy), zwiększyła się </w:t>
      </w:r>
      <w:r w:rsidRPr="004A73E0">
        <w:rPr>
          <w:rFonts w:ascii="Times New Roman" w:hAnsi="Times New Roman" w:cs="Times New Roman"/>
          <w:color w:val="000000"/>
        </w:rPr>
        <w:br/>
        <w:t xml:space="preserve">o kwotę 112.000 zł, to jest do kwoty 4.774.691,99 zł. </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 xml:space="preserve">Po wprowadzeniu zmian do WPF omówionych wyżej, wskaźnik łącznej kwoty spłaty zobowiązań, </w:t>
      </w:r>
      <w:r>
        <w:rPr>
          <w:rFonts w:ascii="Times New Roman" w:hAnsi="Times New Roman" w:cs="Times New Roman"/>
          <w:color w:val="000000"/>
        </w:rPr>
        <w:br/>
      </w:r>
      <w:r w:rsidRPr="004A73E0">
        <w:rPr>
          <w:rFonts w:ascii="Times New Roman" w:hAnsi="Times New Roman" w:cs="Times New Roman"/>
          <w:color w:val="000000"/>
        </w:rPr>
        <w:t>o której mowa w art. 243 ust. 1 ustawy do dochodów ogółem nie zmienił się.</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color w:val="000000"/>
        </w:rPr>
      </w:pPr>
      <w:r w:rsidRPr="004A73E0">
        <w:rPr>
          <w:rFonts w:ascii="Times New Roman" w:hAnsi="Times New Roman" w:cs="Times New Roman"/>
          <w:b/>
          <w:bCs/>
          <w:color w:val="000000"/>
        </w:rPr>
        <w:t xml:space="preserve"> </w:t>
      </w:r>
    </w:p>
    <w:p w:rsidR="008B3EB3" w:rsidRPr="004A73E0" w:rsidRDefault="004A73E0" w:rsidP="008B3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r w:rsidRPr="004A73E0">
        <w:rPr>
          <w:rFonts w:ascii="Times New Roman" w:hAnsi="Times New Roman" w:cs="Times New Roman"/>
        </w:rPr>
        <w:t>Zaktualizowano również pozostałe dane wynikające ze szczegółowości Wielo</w:t>
      </w:r>
      <w:r w:rsidR="004F11C2">
        <w:rPr>
          <w:rFonts w:ascii="Times New Roman" w:hAnsi="Times New Roman" w:cs="Times New Roman"/>
        </w:rPr>
        <w:t xml:space="preserve">letniej Prognozy Finansowej, w szczególności </w:t>
      </w:r>
      <w:r w:rsidR="004F11C2" w:rsidRPr="004F11C2">
        <w:rPr>
          <w:rFonts w:ascii="Times New Roman" w:hAnsi="Times New Roman" w:cs="Times New Roman"/>
          <w:bCs/>
        </w:rPr>
        <w:t>w poz. 11.2 – „</w:t>
      </w:r>
      <w:r w:rsidR="004F11C2">
        <w:rPr>
          <w:rFonts w:ascii="Times New Roman" w:hAnsi="Times New Roman" w:cs="Times New Roman"/>
          <w:bCs/>
        </w:rPr>
        <w:t>w</w:t>
      </w:r>
      <w:r w:rsidR="004F11C2" w:rsidRPr="004F11C2">
        <w:rPr>
          <w:rFonts w:ascii="Times New Roman" w:hAnsi="Times New Roman" w:cs="Times New Roman"/>
          <w:bCs/>
        </w:rPr>
        <w:t>ydatki związane z funkcjonowaniem organów jednostki samorządu terytorialnego”</w:t>
      </w:r>
      <w:r w:rsidR="004F11C2">
        <w:rPr>
          <w:rFonts w:ascii="Times New Roman" w:hAnsi="Times New Roman" w:cs="Times New Roman"/>
          <w:bCs/>
        </w:rPr>
        <w:t xml:space="preserve"> </w:t>
      </w:r>
      <w:r w:rsidR="004F11C2" w:rsidRPr="004F11C2">
        <w:rPr>
          <w:rFonts w:ascii="Times New Roman" w:hAnsi="Times New Roman" w:cs="Times New Roman"/>
          <w:bCs/>
        </w:rPr>
        <w:t>dokonano zmniejszenia</w:t>
      </w:r>
      <w:r w:rsidR="004F11C2">
        <w:rPr>
          <w:rFonts w:ascii="Times New Roman" w:hAnsi="Times New Roman" w:cs="Times New Roman"/>
          <w:bCs/>
        </w:rPr>
        <w:t xml:space="preserve"> </w:t>
      </w:r>
      <w:r w:rsidR="004F11C2" w:rsidRPr="004F11C2">
        <w:rPr>
          <w:rFonts w:ascii="Times New Roman" w:hAnsi="Times New Roman" w:cs="Times New Roman"/>
          <w:bCs/>
        </w:rPr>
        <w:t>o kwotę 12.500 zł</w:t>
      </w:r>
      <w:r w:rsidR="004F11C2">
        <w:rPr>
          <w:rFonts w:ascii="Times New Roman" w:hAnsi="Times New Roman" w:cs="Times New Roman"/>
          <w:bCs/>
        </w:rPr>
        <w:t xml:space="preserve"> </w:t>
      </w:r>
      <w:r w:rsidR="008B3EB3">
        <w:rPr>
          <w:rFonts w:ascii="Times New Roman" w:hAnsi="Times New Roman" w:cs="Times New Roman"/>
          <w:bCs/>
        </w:rPr>
        <w:t>i</w:t>
      </w:r>
      <w:r w:rsidR="004F11C2">
        <w:rPr>
          <w:rFonts w:ascii="Times New Roman" w:hAnsi="Times New Roman" w:cs="Times New Roman"/>
          <w:bCs/>
        </w:rPr>
        <w:t xml:space="preserve"> doprowadz</w:t>
      </w:r>
      <w:r w:rsidR="008B3EB3">
        <w:rPr>
          <w:rFonts w:ascii="Times New Roman" w:hAnsi="Times New Roman" w:cs="Times New Roman"/>
          <w:bCs/>
        </w:rPr>
        <w:t xml:space="preserve">ono wartości przyjęte </w:t>
      </w:r>
      <w:r w:rsidR="009127DE">
        <w:rPr>
          <w:rFonts w:ascii="Times New Roman" w:hAnsi="Times New Roman" w:cs="Times New Roman"/>
          <w:bCs/>
        </w:rPr>
        <w:br/>
        <w:t>w</w:t>
      </w:r>
      <w:r w:rsidR="008B3EB3">
        <w:rPr>
          <w:rFonts w:ascii="Times New Roman" w:hAnsi="Times New Roman" w:cs="Times New Roman"/>
          <w:bCs/>
        </w:rPr>
        <w:t xml:space="preserve"> załącznik</w:t>
      </w:r>
      <w:r w:rsidR="009127DE">
        <w:rPr>
          <w:rFonts w:ascii="Times New Roman" w:hAnsi="Times New Roman" w:cs="Times New Roman"/>
          <w:bCs/>
        </w:rPr>
        <w:t>u</w:t>
      </w:r>
      <w:r w:rsidR="008B3EB3">
        <w:rPr>
          <w:rFonts w:ascii="Times New Roman" w:hAnsi="Times New Roman" w:cs="Times New Roman"/>
          <w:bCs/>
        </w:rPr>
        <w:t xml:space="preserve"> Nr 1 do WPF do zgodności z wartościami przyjętymi </w:t>
      </w:r>
      <w:r w:rsidR="009127DE">
        <w:rPr>
          <w:rFonts w:ascii="Times New Roman" w:hAnsi="Times New Roman" w:cs="Times New Roman"/>
        </w:rPr>
        <w:t>w</w:t>
      </w:r>
      <w:r w:rsidR="008B3EB3" w:rsidRPr="004A73E0">
        <w:rPr>
          <w:rFonts w:ascii="Times New Roman" w:hAnsi="Times New Roman" w:cs="Times New Roman"/>
        </w:rPr>
        <w:t xml:space="preserve"> uchwa</w:t>
      </w:r>
      <w:r w:rsidR="009127DE">
        <w:rPr>
          <w:rFonts w:ascii="Times New Roman" w:hAnsi="Times New Roman" w:cs="Times New Roman"/>
        </w:rPr>
        <w:t>le</w:t>
      </w:r>
      <w:r w:rsidR="008B3EB3" w:rsidRPr="004A73E0">
        <w:rPr>
          <w:rFonts w:ascii="Times New Roman" w:hAnsi="Times New Roman" w:cs="Times New Roman"/>
        </w:rPr>
        <w:t xml:space="preserve"> budżetowej </w:t>
      </w:r>
      <w:r w:rsidR="008B3EB3">
        <w:rPr>
          <w:rFonts w:ascii="Times New Roman" w:hAnsi="Times New Roman" w:cs="Times New Roman"/>
        </w:rPr>
        <w:t xml:space="preserve">na 2018 rok. </w:t>
      </w: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rPr>
      </w:pPr>
    </w:p>
    <w:p w:rsidR="004A73E0" w:rsidRPr="004A73E0" w:rsidRDefault="004A73E0" w:rsidP="004A73E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hAnsi="Times New Roman" w:cs="Times New Roman"/>
          <w:b/>
          <w:bCs/>
        </w:rPr>
      </w:pPr>
      <w:r w:rsidRPr="004A73E0">
        <w:rPr>
          <w:rFonts w:ascii="Times New Roman" w:hAnsi="Times New Roman" w:cs="Times New Roman"/>
          <w:b/>
          <w:bCs/>
        </w:rPr>
        <w:t>Załącznik Nr 2 – Wykaz Wieloletnich Przedsięwzięć Finansowych</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FF0000"/>
        </w:rPr>
      </w:pP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 xml:space="preserve">Wprowadzono przedsięwzięcie o nazwie: "Budowa drogi na osiedlu szkolnym w m. Zalesie" </w:t>
      </w:r>
      <w:r w:rsidRPr="004A73E0">
        <w:rPr>
          <w:rFonts w:ascii="Times New Roman" w:hAnsi="Times New Roman" w:cs="Times New Roman"/>
          <w:color w:val="000000"/>
        </w:rPr>
        <w:br/>
      </w:r>
      <w:r w:rsidR="0061355F">
        <w:rPr>
          <w:rFonts w:ascii="Times New Roman" w:hAnsi="Times New Roman" w:cs="Times New Roman"/>
          <w:color w:val="000000"/>
        </w:rPr>
        <w:t>z uwagi na wypłatę odszkodowania za w</w:t>
      </w:r>
      <w:r w:rsidR="0052581F" w:rsidRPr="0052581F">
        <w:rPr>
          <w:rFonts w:ascii="Times New Roman" w:eastAsia="Times New Roman" w:hAnsi="Times New Roman" w:cs="Times New Roman"/>
          <w:lang w:eastAsia="en-US"/>
        </w:rPr>
        <w:t>ywłaszczenie nieruchomości przejętej z mocy prawa przez Gminę w celu regulacji</w:t>
      </w:r>
      <w:r w:rsidR="0061355F">
        <w:rPr>
          <w:rFonts w:ascii="Times New Roman" w:eastAsia="Times New Roman" w:hAnsi="Times New Roman" w:cs="Times New Roman"/>
          <w:lang w:eastAsia="en-US"/>
        </w:rPr>
        <w:t xml:space="preserve"> granic drogi gminnej w Zalesiu, z</w:t>
      </w:r>
      <w:r w:rsidR="0052581F" w:rsidRPr="0052581F">
        <w:rPr>
          <w:rFonts w:ascii="Times New Roman" w:eastAsia="Times New Roman" w:hAnsi="Times New Roman" w:cs="Times New Roman"/>
          <w:lang w:eastAsia="en-US"/>
        </w:rPr>
        <w:t xml:space="preserve"> </w:t>
      </w:r>
      <w:r w:rsidRPr="004A73E0">
        <w:rPr>
          <w:rFonts w:ascii="Times New Roman" w:hAnsi="Times New Roman" w:cs="Times New Roman"/>
          <w:color w:val="000000"/>
        </w:rPr>
        <w:t>kwotami (majątkowe):</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1) nakłady łączne: 28.105 zł,</w:t>
      </w:r>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2) limit wydatków roku 2018:7.200 zł,</w:t>
      </w:r>
      <w:bookmarkStart w:id="0" w:name="_GoBack"/>
      <w:bookmarkEnd w:id="0"/>
    </w:p>
    <w:p w:rsidR="004A73E0" w:rsidRPr="004A73E0" w:rsidRDefault="004A73E0" w:rsidP="004A7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3) limit zobowiązań: 7.200 zł.</w:t>
      </w:r>
    </w:p>
    <w:p w:rsidR="0052581F" w:rsidRPr="0052581F" w:rsidRDefault="004A73E0" w:rsidP="0052581F">
      <w:pPr>
        <w:autoSpaceDE w:val="0"/>
        <w:autoSpaceDN w:val="0"/>
        <w:adjustRightInd w:val="0"/>
        <w:jc w:val="both"/>
        <w:rPr>
          <w:rFonts w:ascii="Times New Roman" w:eastAsia="Times New Roman" w:hAnsi="Times New Roman" w:cs="Times New Roman"/>
          <w:lang w:eastAsia="en-US"/>
        </w:rPr>
      </w:pPr>
      <w:r w:rsidRPr="004A73E0">
        <w:rPr>
          <w:rFonts w:ascii="Times New Roman" w:hAnsi="Times New Roman" w:cs="Times New Roman"/>
          <w:color w:val="000000"/>
        </w:rPr>
        <w:t>Celem przedsięwzięcia jest poprawa infrastruktury drogowej w gminie.</w:t>
      </w:r>
    </w:p>
    <w:p w:rsidR="004F11C2" w:rsidRDefault="00D5359D" w:rsidP="00056E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rPr>
      </w:pPr>
      <w:r w:rsidRPr="00D5359D">
        <w:rPr>
          <w:rFonts w:ascii="Times New Roman" w:hAnsi="Times New Roman" w:cs="Times New Roman"/>
        </w:rPr>
        <w:t xml:space="preserve">Dokonano zmiany nazwy przedsięwzięcia </w:t>
      </w:r>
      <w:r w:rsidR="00056E02">
        <w:rPr>
          <w:rFonts w:ascii="Times New Roman" w:hAnsi="Times New Roman" w:cs="Times New Roman"/>
        </w:rPr>
        <w:t xml:space="preserve">realizowanego od roku 2016 </w:t>
      </w:r>
      <w:r w:rsidR="004F11C2" w:rsidRPr="00D5359D">
        <w:rPr>
          <w:rFonts w:ascii="Times New Roman" w:hAnsi="Times New Roman" w:cs="Times New Roman"/>
          <w:bCs/>
        </w:rPr>
        <w:t>z „Budowa sieci kanalizacji sanitarnej w m. Dzierzążenko” na „Budowa sieci kanalizacji sanitarnej i deszczowej w m. D</w:t>
      </w:r>
      <w:r w:rsidR="00696549">
        <w:rPr>
          <w:rFonts w:ascii="Times New Roman" w:hAnsi="Times New Roman" w:cs="Times New Roman"/>
          <w:bCs/>
        </w:rPr>
        <w:t>zierzążenko (ul. Jerozolimska)”</w:t>
      </w:r>
      <w:r w:rsidR="00056E02">
        <w:rPr>
          <w:rFonts w:ascii="Times New Roman" w:hAnsi="Times New Roman" w:cs="Times New Roman"/>
          <w:bCs/>
        </w:rPr>
        <w:t xml:space="preserve">, w celu uniknięcia rozbieżności pomiędzy </w:t>
      </w:r>
      <w:r w:rsidR="007C5A3F">
        <w:rPr>
          <w:rFonts w:ascii="Times New Roman" w:hAnsi="Times New Roman" w:cs="Times New Roman"/>
          <w:bCs/>
        </w:rPr>
        <w:t>obowiązującą w 2018 r. Wieloletnią Prognozą Finansową, a uchwałą budżetową na 2018 rok.</w:t>
      </w:r>
    </w:p>
    <w:p w:rsidR="00056E02" w:rsidRPr="00D5359D" w:rsidRDefault="00056E02" w:rsidP="00056E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Cs/>
        </w:rPr>
      </w:pPr>
    </w:p>
    <w:p w:rsidR="00696549" w:rsidRDefault="00696549" w:rsidP="006965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rPr>
      </w:pPr>
      <w:r w:rsidRPr="004A73E0">
        <w:rPr>
          <w:rFonts w:ascii="Times New Roman" w:hAnsi="Times New Roman" w:cs="Times New Roman"/>
          <w:color w:val="000000"/>
        </w:rPr>
        <w:t>Zweryfikowano kwoty łącznych nakładów finansowych oraz limity na 2018 r</w:t>
      </w:r>
      <w:r w:rsidR="007C5A3F">
        <w:rPr>
          <w:rFonts w:ascii="Times New Roman" w:hAnsi="Times New Roman" w:cs="Times New Roman"/>
          <w:color w:val="000000"/>
        </w:rPr>
        <w:t>ok</w:t>
      </w:r>
      <w:r w:rsidRPr="004A73E0">
        <w:rPr>
          <w:rFonts w:ascii="Times New Roman" w:hAnsi="Times New Roman" w:cs="Times New Roman"/>
          <w:color w:val="000000"/>
        </w:rPr>
        <w:t xml:space="preserve"> na przedsięwzięcia wykazane w wykazie przedsięwzięć; w przypadku zadań tego wymagających, kwoty łącznych nakładów oraz limity dotycząc</w:t>
      </w:r>
      <w:r>
        <w:rPr>
          <w:rFonts w:ascii="Times New Roman" w:hAnsi="Times New Roman" w:cs="Times New Roman"/>
          <w:color w:val="000000"/>
        </w:rPr>
        <w:t>e roku 2018 zostały skorygowane, w szczególności zmieniono łączne nakłady finansowe:</w:t>
      </w:r>
    </w:p>
    <w:p w:rsidR="004F11C2" w:rsidRDefault="004F11C2" w:rsidP="004F11C2">
      <w:pPr>
        <w:pStyle w:val="Default"/>
        <w:jc w:val="both"/>
        <w:rPr>
          <w:sz w:val="22"/>
          <w:szCs w:val="22"/>
        </w:rPr>
      </w:pPr>
      <w:r>
        <w:rPr>
          <w:sz w:val="22"/>
          <w:szCs w:val="22"/>
        </w:rPr>
        <w:t>- w poz. 1.3.2.8 w przedsięwzięciu pn. „</w:t>
      </w:r>
      <w:r w:rsidRPr="007D6FD1">
        <w:rPr>
          <w:sz w:val="22"/>
          <w:szCs w:val="22"/>
        </w:rPr>
        <w:t xml:space="preserve"> </w:t>
      </w:r>
      <w:r>
        <w:rPr>
          <w:sz w:val="22"/>
          <w:szCs w:val="22"/>
        </w:rPr>
        <w:t>Modernizacja sali wiejskiej w m. Nowy Dwór” do kwoty 586.839,07 zł,</w:t>
      </w:r>
    </w:p>
    <w:p w:rsidR="004F11C2" w:rsidRPr="00696549" w:rsidRDefault="004F11C2" w:rsidP="00696549">
      <w:pPr>
        <w:pStyle w:val="Default"/>
        <w:jc w:val="both"/>
        <w:rPr>
          <w:sz w:val="22"/>
          <w:szCs w:val="22"/>
        </w:rPr>
      </w:pPr>
      <w:r>
        <w:rPr>
          <w:sz w:val="22"/>
          <w:szCs w:val="22"/>
        </w:rPr>
        <w:t xml:space="preserve">- w poz. 1.3.2.9 w przedsięwzięciu pn. „Budowa sieci wodociągowej w m. Dzierzążenko </w:t>
      </w:r>
      <w:r>
        <w:rPr>
          <w:sz w:val="22"/>
          <w:szCs w:val="22"/>
        </w:rPr>
        <w:br/>
        <w:t>(dz. Nr 114/7)  do kwoty 58.210 zł.</w:t>
      </w:r>
    </w:p>
    <w:sectPr w:rsidR="004F11C2" w:rsidRPr="00696549" w:rsidSect="005C6171">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1F" w:rsidRDefault="0052581F" w:rsidP="00211500">
      <w:pPr>
        <w:spacing w:after="0" w:line="240" w:lineRule="auto"/>
      </w:pPr>
      <w:r>
        <w:separator/>
      </w:r>
    </w:p>
  </w:endnote>
  <w:endnote w:type="continuationSeparator" w:id="0">
    <w:p w:rsidR="0052581F" w:rsidRDefault="0052581F"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1F" w:rsidRDefault="0052581F" w:rsidP="00211500">
      <w:pPr>
        <w:spacing w:after="0" w:line="240" w:lineRule="auto"/>
      </w:pPr>
      <w:r>
        <w:separator/>
      </w:r>
    </w:p>
  </w:footnote>
  <w:footnote w:type="continuationSeparator" w:id="0">
    <w:p w:rsidR="0052581F" w:rsidRDefault="0052581F"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52581F" w:rsidRDefault="0052581F">
        <w:pPr>
          <w:pStyle w:val="Nagwek"/>
          <w:jc w:val="center"/>
        </w:pPr>
        <w:r>
          <w:fldChar w:fldCharType="begin"/>
        </w:r>
        <w:r>
          <w:instrText xml:space="preserve"> PAGE   \* MERGEFORMAT </w:instrText>
        </w:r>
        <w:r>
          <w:fldChar w:fldCharType="separate"/>
        </w:r>
        <w:r w:rsidR="0061355F">
          <w:rPr>
            <w:noProof/>
          </w:rPr>
          <w:t>17</w:t>
        </w:r>
        <w:r>
          <w:rPr>
            <w:noProof/>
          </w:rPr>
          <w:fldChar w:fldCharType="end"/>
        </w:r>
      </w:p>
    </w:sdtContent>
  </w:sdt>
  <w:p w:rsidR="0052581F" w:rsidRDefault="005258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1">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7"/>
  </w:num>
  <w:num w:numId="9">
    <w:abstractNumId w:val="12"/>
  </w:num>
  <w:num w:numId="10">
    <w:abstractNumId w:val="9"/>
  </w:num>
  <w:num w:numId="11">
    <w:abstractNumId w:val="13"/>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14D2B"/>
    <w:rsid w:val="000246D5"/>
    <w:rsid w:val="00032632"/>
    <w:rsid w:val="00036B9D"/>
    <w:rsid w:val="00037C6F"/>
    <w:rsid w:val="00040736"/>
    <w:rsid w:val="00056E02"/>
    <w:rsid w:val="000704FD"/>
    <w:rsid w:val="0008115E"/>
    <w:rsid w:val="00092685"/>
    <w:rsid w:val="00094B7A"/>
    <w:rsid w:val="00096849"/>
    <w:rsid w:val="000A0F10"/>
    <w:rsid w:val="000B5CE5"/>
    <w:rsid w:val="000D1FD1"/>
    <w:rsid w:val="000F46C3"/>
    <w:rsid w:val="00101423"/>
    <w:rsid w:val="00153667"/>
    <w:rsid w:val="00162387"/>
    <w:rsid w:val="00166946"/>
    <w:rsid w:val="0016698E"/>
    <w:rsid w:val="00177E01"/>
    <w:rsid w:val="001968C0"/>
    <w:rsid w:val="001B0C09"/>
    <w:rsid w:val="001B1082"/>
    <w:rsid w:val="001D2972"/>
    <w:rsid w:val="001E7113"/>
    <w:rsid w:val="001F0D29"/>
    <w:rsid w:val="002028F3"/>
    <w:rsid w:val="00211500"/>
    <w:rsid w:val="00233BEB"/>
    <w:rsid w:val="00256972"/>
    <w:rsid w:val="00260D2E"/>
    <w:rsid w:val="00266928"/>
    <w:rsid w:val="0027049E"/>
    <w:rsid w:val="002733CD"/>
    <w:rsid w:val="0028042B"/>
    <w:rsid w:val="002821D5"/>
    <w:rsid w:val="002E6F98"/>
    <w:rsid w:val="002F3160"/>
    <w:rsid w:val="00305EA7"/>
    <w:rsid w:val="00321A9F"/>
    <w:rsid w:val="00330EAD"/>
    <w:rsid w:val="00341CB7"/>
    <w:rsid w:val="00350508"/>
    <w:rsid w:val="003A161A"/>
    <w:rsid w:val="003A4F61"/>
    <w:rsid w:val="003B7581"/>
    <w:rsid w:val="003D11B0"/>
    <w:rsid w:val="004005E6"/>
    <w:rsid w:val="00407BC7"/>
    <w:rsid w:val="00421FC9"/>
    <w:rsid w:val="0044099E"/>
    <w:rsid w:val="00451232"/>
    <w:rsid w:val="004952A5"/>
    <w:rsid w:val="004A73E0"/>
    <w:rsid w:val="004B0D90"/>
    <w:rsid w:val="004C0264"/>
    <w:rsid w:val="004D61E6"/>
    <w:rsid w:val="004F11C2"/>
    <w:rsid w:val="005038DF"/>
    <w:rsid w:val="00512734"/>
    <w:rsid w:val="0052506D"/>
    <w:rsid w:val="0052581F"/>
    <w:rsid w:val="00527F5D"/>
    <w:rsid w:val="0056011E"/>
    <w:rsid w:val="00567D8B"/>
    <w:rsid w:val="00574B79"/>
    <w:rsid w:val="0057598C"/>
    <w:rsid w:val="00577883"/>
    <w:rsid w:val="00597686"/>
    <w:rsid w:val="005C6171"/>
    <w:rsid w:val="005C680D"/>
    <w:rsid w:val="005E1C19"/>
    <w:rsid w:val="005E20EE"/>
    <w:rsid w:val="005F5479"/>
    <w:rsid w:val="00601857"/>
    <w:rsid w:val="00604701"/>
    <w:rsid w:val="00607B6D"/>
    <w:rsid w:val="00610726"/>
    <w:rsid w:val="00611AF8"/>
    <w:rsid w:val="0061355F"/>
    <w:rsid w:val="00646417"/>
    <w:rsid w:val="00661612"/>
    <w:rsid w:val="00682A2E"/>
    <w:rsid w:val="00693541"/>
    <w:rsid w:val="0069524C"/>
    <w:rsid w:val="00696549"/>
    <w:rsid w:val="006A55F6"/>
    <w:rsid w:val="006B5EBA"/>
    <w:rsid w:val="006C525B"/>
    <w:rsid w:val="007032BB"/>
    <w:rsid w:val="007337F4"/>
    <w:rsid w:val="00747667"/>
    <w:rsid w:val="0076125E"/>
    <w:rsid w:val="007844A0"/>
    <w:rsid w:val="00790BD6"/>
    <w:rsid w:val="007C1767"/>
    <w:rsid w:val="007C5A3F"/>
    <w:rsid w:val="007D1BDC"/>
    <w:rsid w:val="007D2C05"/>
    <w:rsid w:val="007F3D4F"/>
    <w:rsid w:val="00821E83"/>
    <w:rsid w:val="00827D71"/>
    <w:rsid w:val="00834C16"/>
    <w:rsid w:val="00872392"/>
    <w:rsid w:val="00895EE2"/>
    <w:rsid w:val="008B3EB3"/>
    <w:rsid w:val="008C40FA"/>
    <w:rsid w:val="008D7BA1"/>
    <w:rsid w:val="009127DE"/>
    <w:rsid w:val="0097062A"/>
    <w:rsid w:val="009730CB"/>
    <w:rsid w:val="00980965"/>
    <w:rsid w:val="009849B6"/>
    <w:rsid w:val="009C1930"/>
    <w:rsid w:val="009C3700"/>
    <w:rsid w:val="009D5A9C"/>
    <w:rsid w:val="00A015E5"/>
    <w:rsid w:val="00A3607F"/>
    <w:rsid w:val="00A456A5"/>
    <w:rsid w:val="00A81187"/>
    <w:rsid w:val="00AA0C7D"/>
    <w:rsid w:val="00AC0EA7"/>
    <w:rsid w:val="00AD70A0"/>
    <w:rsid w:val="00B2072A"/>
    <w:rsid w:val="00B31672"/>
    <w:rsid w:val="00B342F5"/>
    <w:rsid w:val="00B36233"/>
    <w:rsid w:val="00B52E8B"/>
    <w:rsid w:val="00B6631D"/>
    <w:rsid w:val="00B97ED9"/>
    <w:rsid w:val="00BA3505"/>
    <w:rsid w:val="00BC7794"/>
    <w:rsid w:val="00BD410D"/>
    <w:rsid w:val="00C006F1"/>
    <w:rsid w:val="00C2110C"/>
    <w:rsid w:val="00C367D0"/>
    <w:rsid w:val="00C47548"/>
    <w:rsid w:val="00C47AB4"/>
    <w:rsid w:val="00C67CEE"/>
    <w:rsid w:val="00C8733D"/>
    <w:rsid w:val="00CA3456"/>
    <w:rsid w:val="00CA43E5"/>
    <w:rsid w:val="00CA5E6B"/>
    <w:rsid w:val="00CD4202"/>
    <w:rsid w:val="00D0415B"/>
    <w:rsid w:val="00D0568D"/>
    <w:rsid w:val="00D14C4D"/>
    <w:rsid w:val="00D15908"/>
    <w:rsid w:val="00D43199"/>
    <w:rsid w:val="00D47A12"/>
    <w:rsid w:val="00D515EE"/>
    <w:rsid w:val="00D5359D"/>
    <w:rsid w:val="00D62394"/>
    <w:rsid w:val="00D633C8"/>
    <w:rsid w:val="00D63494"/>
    <w:rsid w:val="00D65641"/>
    <w:rsid w:val="00D7584A"/>
    <w:rsid w:val="00D75C1B"/>
    <w:rsid w:val="00D96F9A"/>
    <w:rsid w:val="00DE22FD"/>
    <w:rsid w:val="00E24CD3"/>
    <w:rsid w:val="00E3327E"/>
    <w:rsid w:val="00E3774A"/>
    <w:rsid w:val="00E61494"/>
    <w:rsid w:val="00E97D28"/>
    <w:rsid w:val="00ED4331"/>
    <w:rsid w:val="00EE6F51"/>
    <w:rsid w:val="00EF40D9"/>
    <w:rsid w:val="00F3341F"/>
    <w:rsid w:val="00F84561"/>
    <w:rsid w:val="00F9137A"/>
    <w:rsid w:val="00FC108E"/>
    <w:rsid w:val="00FD5FED"/>
    <w:rsid w:val="00FE449C"/>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semiHidden/>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CA345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7C5A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5A3F"/>
    <w:rPr>
      <w:sz w:val="20"/>
      <w:szCs w:val="20"/>
    </w:rPr>
  </w:style>
  <w:style w:type="character" w:styleId="Odwoanieprzypisukocowego">
    <w:name w:val="endnote reference"/>
    <w:basedOn w:val="Domylnaczcionkaakapitu"/>
    <w:uiPriority w:val="99"/>
    <w:semiHidden/>
    <w:unhideWhenUsed/>
    <w:rsid w:val="007C5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19932215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397019098">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45645790">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2D7D-32E5-4414-AC3C-0C5FD651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5774</Words>
  <Characters>34650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gmina</cp:lastModifiedBy>
  <cp:revision>8</cp:revision>
  <cp:lastPrinted>2018-01-25T07:07:00Z</cp:lastPrinted>
  <dcterms:created xsi:type="dcterms:W3CDTF">2018-01-24T08:52:00Z</dcterms:created>
  <dcterms:modified xsi:type="dcterms:W3CDTF">2018-01-25T11:05:00Z</dcterms:modified>
</cp:coreProperties>
</file>