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2A6F" w14:textId="77777777" w:rsidR="00014A51" w:rsidRPr="00014A51" w:rsidRDefault="00014A51" w:rsidP="00014A51">
      <w:pPr>
        <w:keepNext/>
        <w:keepLines/>
        <w:spacing w:before="40" w:after="0" w:line="276" w:lineRule="auto"/>
        <w:jc w:val="right"/>
        <w:outlineLvl w:val="4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Gniezno, dnia 15 lutego 2024 r.</w:t>
      </w:r>
    </w:p>
    <w:p w14:paraId="19A8D671" w14:textId="77777777" w:rsidR="00014A51" w:rsidRPr="00014A51" w:rsidRDefault="00014A51" w:rsidP="00014A51">
      <w:pPr>
        <w:keepNext/>
        <w:keepLines/>
        <w:spacing w:before="40" w:after="0" w:line="276" w:lineRule="auto"/>
        <w:outlineLvl w:val="5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OŚR. 6220.6.2023</w:t>
      </w:r>
    </w:p>
    <w:p w14:paraId="7D377906" w14:textId="77777777" w:rsidR="00014A51" w:rsidRPr="00014A51" w:rsidRDefault="00014A51" w:rsidP="00014A51">
      <w:pPr>
        <w:keepNext/>
        <w:keepLines/>
        <w:spacing w:before="40" w:after="0" w:line="276" w:lineRule="auto"/>
        <w:outlineLvl w:val="5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542AE26D" w14:textId="77777777" w:rsidR="00014A51" w:rsidRPr="00014A51" w:rsidRDefault="00014A51" w:rsidP="00014A51">
      <w:pPr>
        <w:tabs>
          <w:tab w:val="left" w:pos="426"/>
        </w:tabs>
        <w:spacing w:line="276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u w:val="single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:u w:val="single"/>
          <w14:ligatures w14:val="none"/>
        </w:rPr>
        <w:t>OBWIESZCZENIE</w:t>
      </w:r>
    </w:p>
    <w:p w14:paraId="0C3D4432" w14:textId="77777777" w:rsidR="00014A51" w:rsidRPr="00014A51" w:rsidRDefault="00014A51" w:rsidP="00014A51">
      <w:pPr>
        <w:spacing w:line="276" w:lineRule="auto"/>
        <w:ind w:firstLine="708"/>
        <w:jc w:val="both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Na podstawie art. 49 ustawy z dnia 14 czerwca 1960 r. </w:t>
      </w:r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14:ligatures w14:val="none"/>
        </w:rPr>
        <w:t xml:space="preserve">kodeks postępowania administracyjnego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/Dz. U. 2023 r., poz. 775 zez zm./, w związku z art. 74 ust. 3 ustawy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br/>
        <w:t xml:space="preserve">z dnia 3 października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 xml:space="preserve">2008 r. </w:t>
      </w:r>
      <w:r w:rsidRPr="00014A51">
        <w:rPr>
          <w:rFonts w:ascii="Century Gothic" w:eastAsia="Times New Roman" w:hAnsi="Century Gothic" w:cs="Calibri"/>
          <w:bCs/>
          <w:i/>
          <w:kern w:val="0"/>
          <w:sz w:val="21"/>
          <w:szCs w:val="21"/>
          <w14:ligatures w14:val="none"/>
        </w:rPr>
        <w:t>o udostępnianiu informacji o środowisku i jego ochronie, udziale społeczeństwa w ochronie środowiska oraz o ocenach oddziaływania na środowisko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/Dz. U. z 2023 r., poz. 1094 ze zm./ </w:t>
      </w: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14:ligatures w14:val="none"/>
        </w:rPr>
        <w:t xml:space="preserve">Wójt Gminy Gniezno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>zawiadamia</w:t>
      </w:r>
      <w:r w:rsidRPr="00014A51">
        <w:rPr>
          <w:rFonts w:ascii="Century Gothic" w:eastAsia="Times New Roman" w:hAnsi="Century Gothic" w:cs="Calibri"/>
          <w:b/>
          <w:bCs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>strony postępowania administracyjnego o wydanej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 dnia 15 lutego 2024 r. decyzji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br/>
        <w:t>o środowiskowych uwarunkowaniach</w:t>
      </w: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dla przedsięwzięcia polegającego na</w:t>
      </w:r>
      <w:bookmarkStart w:id="0" w:name="_Hlk75772086"/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14:ligatures w14:val="none"/>
        </w:rPr>
        <w:t xml:space="preserve"> budowie do 24 farm fotowoltaicznych o łącznej mocy do 24 MW wraz z niezbędną infrastrukturą techniczną w miejscowości Obora, Gmina Gniezno, działki nr 101/1 i 101/5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,</w:t>
      </w: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14:ligatures w14:val="none"/>
        </w:rPr>
        <w:t xml:space="preserve"> </w:t>
      </w:r>
      <w:bookmarkEnd w:id="0"/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>której treść podaje poniżej.</w:t>
      </w:r>
      <w:r w:rsidRPr="00014A51">
        <w:rPr>
          <w:rFonts w:ascii="Century Gothic" w:eastAsia="Times New Roman" w:hAnsi="Century Gothic" w:cs="Calibri"/>
          <w:b/>
          <w:bCs/>
          <w:kern w:val="0"/>
          <w:sz w:val="21"/>
          <w:szCs w:val="21"/>
          <w14:ligatures w14:val="none"/>
        </w:rPr>
        <w:t xml:space="preserve"> </w:t>
      </w:r>
    </w:p>
    <w:p w14:paraId="256DE86A" w14:textId="77777777" w:rsidR="00014A51" w:rsidRPr="00014A51" w:rsidRDefault="00014A51" w:rsidP="00014A51">
      <w:pPr>
        <w:spacing w:after="120" w:line="276" w:lineRule="auto"/>
        <w:ind w:left="283"/>
        <w:jc w:val="both"/>
        <w:rPr>
          <w:rFonts w:ascii="Century Gothic" w:eastAsia="Times New Roman" w:hAnsi="Century Gothic" w:cs="Times New Roman"/>
          <w:kern w:val="0"/>
          <w:sz w:val="21"/>
          <w:szCs w:val="21"/>
          <w:u w:val="single"/>
          <w:lang w:eastAsia="pl-PL"/>
          <w14:ligatures w14:val="none"/>
        </w:rPr>
      </w:pPr>
    </w:p>
    <w:p w14:paraId="0479F178" w14:textId="77777777" w:rsidR="00014A51" w:rsidRPr="00014A51" w:rsidRDefault="00014A51" w:rsidP="00014A51">
      <w:pPr>
        <w:spacing w:after="120" w:line="276" w:lineRule="auto"/>
        <w:ind w:left="283"/>
        <w:jc w:val="both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014A51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/>
          <w14:ligatures w14:val="none"/>
        </w:rPr>
        <w:t>:</w:t>
      </w:r>
    </w:p>
    <w:p w14:paraId="55313C98" w14:textId="77777777" w:rsidR="00014A51" w:rsidRPr="00014A51" w:rsidRDefault="00014A51" w:rsidP="00014A51">
      <w:pPr>
        <w:spacing w:after="12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  <w:t xml:space="preserve">Ponieważ w powyższej sprawie liczba stron postępowania przekracza 10, zgodnie z art. 74 ust. 3 ustawy z dnia 3 października 2008 roku o udostępnianiu informacji o środowisku i jego ochronie, udziale społeczeństwa w ochronie środowiska oraz o ocenach oddziaływania na środowisko oraz art. 49 Kodeksu postępowania administracyjnego – zawiadomienie stron o wydanej decyzji zostaje podane w formie obwieszczenia. Doręczenie uważa się za dokonane po upływie czternastu dni od dnia publicznego ogłoszenia. Publiczne udostępnienie następuje z dniem </w:t>
      </w:r>
      <w:r w:rsidRPr="00014A51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16 lutego  2024 roku</w:t>
      </w:r>
      <w:r w:rsidRPr="00014A51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>.</w:t>
      </w:r>
    </w:p>
    <w:p w14:paraId="5CEE6F4E" w14:textId="77777777" w:rsidR="00014A51" w:rsidRPr="00014A51" w:rsidRDefault="00014A51" w:rsidP="00014A51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4230E63E" w14:textId="77777777" w:rsidR="00014A51" w:rsidRPr="00014A51" w:rsidRDefault="00014A51" w:rsidP="00014A51">
      <w:pPr>
        <w:tabs>
          <w:tab w:val="left" w:pos="720"/>
          <w:tab w:val="left" w:pos="1080"/>
          <w:tab w:val="left" w:pos="1260"/>
          <w:tab w:val="left" w:pos="2340"/>
        </w:tabs>
        <w:spacing w:after="0" w:line="276" w:lineRule="auto"/>
        <w:jc w:val="right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Gniezno, dnia 15 lutego 2024 r.</w:t>
      </w:r>
    </w:p>
    <w:p w14:paraId="68FDA95E" w14:textId="77777777" w:rsidR="00014A51" w:rsidRPr="00014A51" w:rsidRDefault="00014A51" w:rsidP="00014A51">
      <w:pPr>
        <w:keepNext/>
        <w:keepLines/>
        <w:spacing w:before="40" w:after="0" w:line="276" w:lineRule="auto"/>
        <w:outlineLvl w:val="5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OŚR. 6220.6.2023</w:t>
      </w:r>
    </w:p>
    <w:p w14:paraId="66577AF9" w14:textId="77777777" w:rsidR="00014A51" w:rsidRPr="00014A51" w:rsidRDefault="00014A51" w:rsidP="00014A51">
      <w:pPr>
        <w:keepNext/>
        <w:keepLines/>
        <w:spacing w:before="40" w:after="0" w:line="276" w:lineRule="auto"/>
        <w:outlineLvl w:val="5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45159E04" w14:textId="77777777" w:rsidR="00014A51" w:rsidRPr="00014A51" w:rsidRDefault="00014A51" w:rsidP="00014A51">
      <w:pPr>
        <w:keepNext/>
        <w:spacing w:after="0" w:line="276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Decyzja</w:t>
      </w:r>
    </w:p>
    <w:p w14:paraId="695BC715" w14:textId="77777777" w:rsidR="00014A51" w:rsidRPr="00014A51" w:rsidRDefault="00014A51" w:rsidP="00014A51">
      <w:pPr>
        <w:spacing w:after="0" w:line="276" w:lineRule="auto"/>
        <w:jc w:val="center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o środowiskowych uwarunkowaniach</w:t>
      </w:r>
    </w:p>
    <w:p w14:paraId="00F16359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477D0454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ab/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Na podstawie art. 71 ust. 1 i ust. 2 pkt 2, art. 75 ust. 1 pkt. 4, art. 84 oraz 85 ust. 1, ust. 2 pkt 2 ustawy z dnia 3 października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 xml:space="preserve">2008 roku </w:t>
      </w:r>
      <w:r w:rsidRPr="00014A51">
        <w:rPr>
          <w:rFonts w:ascii="Century Gothic" w:eastAsia="Times New Roman" w:hAnsi="Century Gothic" w:cs="Calibri"/>
          <w:bCs/>
          <w:i/>
          <w:kern w:val="0"/>
          <w:sz w:val="21"/>
          <w:szCs w:val="21"/>
          <w:lang w:eastAsia="pl-PL"/>
          <w14:ligatures w14:val="none"/>
        </w:rPr>
        <w:t xml:space="preserve">o udostępnianiu informacji </w:t>
      </w:r>
      <w:r w:rsidRPr="00014A51">
        <w:rPr>
          <w:rFonts w:ascii="Century Gothic" w:eastAsia="Times New Roman" w:hAnsi="Century Gothic" w:cs="Calibri"/>
          <w:bCs/>
          <w:i/>
          <w:kern w:val="0"/>
          <w:sz w:val="21"/>
          <w:szCs w:val="21"/>
          <w:lang w:eastAsia="pl-PL"/>
          <w14:ligatures w14:val="none"/>
        </w:rPr>
        <w:br/>
        <w:t xml:space="preserve">o środowisku i jego ochronie, udziale społeczeństwa w ochronie środowiska oraz </w:t>
      </w:r>
      <w:r w:rsidRPr="00014A51">
        <w:rPr>
          <w:rFonts w:ascii="Century Gothic" w:eastAsia="Times New Roman" w:hAnsi="Century Gothic" w:cs="Calibri"/>
          <w:bCs/>
          <w:i/>
          <w:kern w:val="0"/>
          <w:sz w:val="21"/>
          <w:szCs w:val="21"/>
          <w:lang w:eastAsia="pl-PL"/>
          <w14:ligatures w14:val="none"/>
        </w:rPr>
        <w:br/>
        <w:t>o ocenach oddziaływania na środowisko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/Dz. U. z 2023 r., poz. 1094 ze zm./ oraz art. 104 ustawy z dnia 14 czerwca 1960 r. </w:t>
      </w:r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kodeks postępowania administracyjnego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/Dz. U. z 2023 r., poz. 775 ze zm./, po rozpatrzeniu wniosku</w:t>
      </w: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14:ligatures w14:val="none"/>
        </w:rPr>
        <w:t xml:space="preserve"> Inwestora </w:t>
      </w:r>
      <w:r w:rsidRPr="00014A51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14:ligatures w14:val="none"/>
        </w:rPr>
        <w:t>PVE 128 Sp. z o.o., ul. J.J. Śniadeckich 21, 85-011 Bydgoszcz (adres do korespondencji Lisi Ogon, ul. Bydgoska 20, 86-065 Łochowo)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 sprawie wydania decyzji o środowiskowych uwarunkowaniach dla przedsięwzięcia polegającego na </w:t>
      </w: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14:ligatures w14:val="none"/>
        </w:rPr>
        <w:t>budowie do 24 farm fotowoltaicznych o łącznej mocy do 24 MW wraz z niezbędną infrastrukturą techniczną w miejscowości Obora, Gmina Gniezno, działki nr 101/1 i 101/5</w:t>
      </w:r>
    </w:p>
    <w:p w14:paraId="221BF0CC" w14:textId="77777777" w:rsidR="00014A51" w:rsidRPr="00014A51" w:rsidRDefault="00014A51" w:rsidP="00014A51">
      <w:pPr>
        <w:spacing w:after="0" w:line="276" w:lineRule="auto"/>
        <w:ind w:left="4248"/>
        <w:jc w:val="both"/>
        <w:rPr>
          <w:rFonts w:ascii="Century Gothic" w:eastAsia="Times New Roman" w:hAnsi="Century Gothic" w:cs="Calibri"/>
          <w:b/>
          <w:kern w:val="0"/>
          <w:sz w:val="20"/>
          <w:szCs w:val="20"/>
          <w:lang w:eastAsia="pl-PL"/>
          <w14:ligatures w14:val="none"/>
        </w:rPr>
      </w:pPr>
    </w:p>
    <w:p w14:paraId="24F17EBA" w14:textId="77777777" w:rsidR="00014A51" w:rsidRPr="00014A51" w:rsidRDefault="00014A51" w:rsidP="00014A51">
      <w:pPr>
        <w:spacing w:after="0" w:line="276" w:lineRule="auto"/>
        <w:ind w:left="4248"/>
        <w:jc w:val="both"/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  <w:t>Orzekam</w:t>
      </w:r>
    </w:p>
    <w:p w14:paraId="5F977D62" w14:textId="77777777" w:rsidR="00014A51" w:rsidRPr="00014A51" w:rsidRDefault="00014A51" w:rsidP="00014A51">
      <w:pPr>
        <w:spacing w:after="0" w:line="276" w:lineRule="auto"/>
        <w:jc w:val="center"/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</w:pPr>
    </w:p>
    <w:p w14:paraId="51B2144F" w14:textId="77777777" w:rsidR="00014A51" w:rsidRPr="00014A51" w:rsidRDefault="00014A51" w:rsidP="00014A51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  <w:t xml:space="preserve">Stwierdzić brak potrzeby przeprowadzenia oceny oddziaływania na środowisko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dla przedsięwzięcia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polegającego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 xml:space="preserve"> na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14:ligatures w14:val="none"/>
        </w:rPr>
        <w:t>budowie do 24 farm fotowoltaicznych o łącznej mocy do 24 MW wraz z niezbędną infrastrukturą techniczną w miejscowości Obora, Gmina Gniezno, działki nr 101/1 i 101/5.</w:t>
      </w:r>
    </w:p>
    <w:p w14:paraId="37C1F045" w14:textId="77777777" w:rsidR="00014A51" w:rsidRPr="00014A51" w:rsidRDefault="00014A51" w:rsidP="00014A51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14:ligatures w14:val="none"/>
        </w:rPr>
        <w:lastRenderedPageBreak/>
        <w:t xml:space="preserve">Określić następujące </w:t>
      </w:r>
      <w:r w:rsidRPr="00014A51">
        <w:rPr>
          <w:rFonts w:ascii="Century Gothic" w:eastAsia="Times New Roman" w:hAnsi="Century Gothic" w:cs="Calibri"/>
          <w:b/>
          <w:kern w:val="0"/>
          <w:sz w:val="21"/>
          <w:szCs w:val="21"/>
          <w:lang w:eastAsia="pl-PL"/>
          <w14:ligatures w14:val="none"/>
        </w:rPr>
        <w:t>środowiskowe uwarunkowania realizacji opisanego wyżej przedsięwzięcia:</w:t>
      </w:r>
    </w:p>
    <w:p w14:paraId="262B4B2E" w14:textId="77777777" w:rsidR="00014A51" w:rsidRPr="00014A51" w:rsidRDefault="00014A51" w:rsidP="00014A51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Calibri"/>
          <w:i/>
          <w:iCs/>
          <w:kern w:val="0"/>
          <w:sz w:val="21"/>
          <w:szCs w:val="21"/>
          <w:u w:val="single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i/>
          <w:iCs/>
          <w:kern w:val="0"/>
          <w:sz w:val="21"/>
          <w:szCs w:val="21"/>
          <w:u w:val="single"/>
          <w:lang w:eastAsia="pl-PL"/>
          <w14:ligatures w14:val="none"/>
        </w:rPr>
        <w:t>Rodzaj i miejsce realizacji przedsięwzięcia</w:t>
      </w:r>
    </w:p>
    <w:p w14:paraId="65EFDB75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jc w:val="both"/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Cs/>
          <w:iCs/>
          <w:kern w:val="0"/>
          <w:sz w:val="21"/>
          <w:szCs w:val="21"/>
          <w14:ligatures w14:val="none"/>
        </w:rPr>
        <w:t>Budowa farm fotowoltaicznych</w:t>
      </w:r>
      <w:r w:rsidRPr="00014A51">
        <w:rPr>
          <w:rFonts w:ascii="Century Gothic" w:eastAsia="Times New Roman" w:hAnsi="Century Gothic" w:cs="Calibri"/>
          <w:bCs/>
          <w:i/>
          <w:kern w:val="0"/>
          <w:sz w:val="21"/>
          <w:szCs w:val="21"/>
          <w14:ligatures w14:val="none"/>
        </w:rPr>
        <w:t xml:space="preserve">,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>zgodnie z charakterystyką przedsięwzięcia, która stanowi załącznik do niniejszej decyzji.</w:t>
      </w:r>
    </w:p>
    <w:p w14:paraId="3DC2F6BD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jc w:val="both"/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>P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rzedsięwzięcie realizowane będzie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 xml:space="preserve">na nieruchomości oznaczonej geodezyjnie jako działki nr 101/1 i 101/5, położone w miejscowości Obora, Gmina Gniezno. </w:t>
      </w:r>
    </w:p>
    <w:p w14:paraId="7B808553" w14:textId="77777777" w:rsidR="00014A51" w:rsidRPr="00014A51" w:rsidRDefault="00014A51" w:rsidP="00014A51">
      <w:pPr>
        <w:numPr>
          <w:ilvl w:val="0"/>
          <w:numId w:val="2"/>
        </w:numPr>
        <w:spacing w:after="0" w:line="276" w:lineRule="auto"/>
        <w:jc w:val="both"/>
        <w:rPr>
          <w:rFonts w:ascii="Century Gothic" w:eastAsia="Times New Roman" w:hAnsi="Century Gothic" w:cs="Calibri"/>
          <w:i/>
          <w:iCs/>
          <w:kern w:val="0"/>
          <w:sz w:val="21"/>
          <w:szCs w:val="21"/>
          <w:u w:val="single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Cs/>
          <w:i/>
          <w:iCs/>
          <w:kern w:val="0"/>
          <w:sz w:val="21"/>
          <w:szCs w:val="21"/>
          <w:u w:val="single"/>
          <w:lang w:eastAsia="pl-PL"/>
          <w14:ligatures w14:val="none"/>
        </w:rPr>
        <w:t>Warunki wykorzystania terenu w fazie realizacji i eksploatacji, ze szczególnym uwzględnieniem konieczności ochrony cennych wartości przyrodniczych, zasobów naturalnych i zabytków oraz ograniczenia uciążliwości dla terenów sąsiednich.</w:t>
      </w:r>
    </w:p>
    <w:p w14:paraId="0C87CB19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i/>
          <w:iCs/>
          <w:kern w:val="0"/>
          <w:sz w:val="21"/>
          <w:szCs w:val="21"/>
          <w:u w:val="single"/>
          <w:lang w:eastAsia="pl-PL"/>
          <w14:ligatures w14:val="none"/>
        </w:rPr>
      </w:pPr>
    </w:p>
    <w:p w14:paraId="508740FE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Wszelkie prace związane z realizacją przedmiotowego przedsięwzięcia oraz ruch pojazdów ograniczyć do pory dnia, tj. w godzinach 6:00 — 22:00.</w:t>
      </w:r>
    </w:p>
    <w:p w14:paraId="6FD531FA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14:paraId="60EB3EA0" w14:textId="77777777" w:rsidR="00014A51" w:rsidRPr="00014A51" w:rsidRDefault="00014A51" w:rsidP="00014A51">
      <w:pPr>
        <w:numPr>
          <w:ilvl w:val="1"/>
          <w:numId w:val="2"/>
        </w:numPr>
        <w:spacing w:after="0" w:line="252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Na etapie eksploatacji przedsięwzięcia koszenie roślinności pokrywającej teren elektrowni prowadzić w okresie od 1-15 sierpnia oraz od 1 listopada do 15 lutego.</w:t>
      </w:r>
    </w:p>
    <w:p w14:paraId="3BCE753D" w14:textId="77777777" w:rsidR="00014A51" w:rsidRPr="00014A51" w:rsidRDefault="00014A51" w:rsidP="00014A51">
      <w:pPr>
        <w:numPr>
          <w:ilvl w:val="1"/>
          <w:numId w:val="2"/>
        </w:numPr>
        <w:spacing w:after="0" w:line="252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W porze nocnej nie stosować ciągłego oświetlenia terenu elektrowni i jej ogrodzenia.</w:t>
      </w:r>
    </w:p>
    <w:p w14:paraId="7A747B53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W przypadku mycia paneli fotowoltaicznych wykorzystywać do tego celu czystą wodę bez użycia środków chemicznych. </w:t>
      </w:r>
    </w:p>
    <w:p w14:paraId="61AC1B02" w14:textId="77777777" w:rsidR="00014A51" w:rsidRPr="00014A51" w:rsidRDefault="00014A51" w:rsidP="00014A51">
      <w:pPr>
        <w:numPr>
          <w:ilvl w:val="1"/>
          <w:numId w:val="2"/>
        </w:numPr>
        <w:spacing w:after="0" w:line="240" w:lineRule="auto"/>
        <w:contextualSpacing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Nie stosować nawozów sztucznych i chemicznych środków ochrony roślin.</w:t>
      </w:r>
    </w:p>
    <w:p w14:paraId="2294FF4F" w14:textId="77777777" w:rsidR="00014A51" w:rsidRPr="00014A51" w:rsidRDefault="00014A51" w:rsidP="00014A51">
      <w:pPr>
        <w:spacing w:after="0" w:line="276" w:lineRule="auto"/>
        <w:ind w:left="1440"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</w:p>
    <w:p w14:paraId="49133C89" w14:textId="77777777" w:rsidR="00014A51" w:rsidRPr="00014A51" w:rsidRDefault="00014A51" w:rsidP="00014A51">
      <w:pPr>
        <w:numPr>
          <w:ilvl w:val="0"/>
          <w:numId w:val="2"/>
        </w:numPr>
        <w:spacing w:after="0" w:line="276" w:lineRule="auto"/>
        <w:ind w:left="709" w:hanging="338"/>
        <w:jc w:val="both"/>
        <w:rPr>
          <w:rFonts w:ascii="Century Gothic" w:eastAsia="Times New Roman" w:hAnsi="Century Gothic" w:cs="Calibri"/>
          <w:bCs/>
          <w:kern w:val="0"/>
          <w:sz w:val="21"/>
          <w:szCs w:val="21"/>
          <w:u w:val="single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Cs/>
          <w:iCs/>
          <w:kern w:val="0"/>
          <w:sz w:val="21"/>
          <w:szCs w:val="21"/>
          <w:u w:val="single"/>
          <w:lang w:eastAsia="pl-PL"/>
          <w14:ligatures w14:val="none"/>
        </w:rPr>
        <w:t>Wymagania dotyczące ochrony środowiska konieczne do uwzględnienia w projekcie budowlanym:</w:t>
      </w:r>
    </w:p>
    <w:p w14:paraId="02062E83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Zastosować moduły fotowoltaiczne o powierzchni antyrefleksyjnej.</w:t>
      </w:r>
    </w:p>
    <w:p w14:paraId="423309CB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Wykonać ogrodzenie ażurowe bez podmurówki, z pozostawieniem minimum 0,2 m przerwy między ogrodzeniem, a gruntem.</w:t>
      </w:r>
    </w:p>
    <w:p w14:paraId="3B0B7F0D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left="1418" w:right="9" w:hanging="338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Panele słoneczne montować na wysokości minimum 0,8 m mierząc od dolnej krawędzi paneli do powierzchni ziemi.</w:t>
      </w:r>
    </w:p>
    <w:p w14:paraId="4315D915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Transformatory w liczbie do 24 sztuk umieścić w stacjach kontenerowych. W przypadku zastosowania transformatorów olejowych wyposażyć je w szczelne misy mogącą pomieścić całą zawartość oleju oraz pozostałości po ewentualnej akcji gaśniczej.</w:t>
      </w:r>
    </w:p>
    <w:p w14:paraId="3835DFC8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Magazyny energii w liczbie do 24 sztuk zrealizować jako obiekty kontenerowe o szczelnej posadzce, funkcjonujące w oparciu o technologię bateryjną.</w:t>
      </w:r>
    </w:p>
    <w:p w14:paraId="05D6DDBE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Stacje transformatorowe i magazyny energii zlokalizować w odległości co najmniej 70 m od granicy terenów wymagających ochrony akustycznej, o których mowa w przepisach odrębnych.</w:t>
      </w:r>
    </w:p>
    <w:p w14:paraId="1F056C96" w14:textId="77777777" w:rsidR="00014A51" w:rsidRPr="00014A51" w:rsidRDefault="00014A51" w:rsidP="00014A51">
      <w:pPr>
        <w:numPr>
          <w:ilvl w:val="1"/>
          <w:numId w:val="2"/>
        </w:numPr>
        <w:spacing w:after="0" w:line="276" w:lineRule="auto"/>
        <w:ind w:right="9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Zastosować do 336 inwerterów o poziomie mocy akustycznej do 65 </w:t>
      </w:r>
      <w:proofErr w:type="spellStart"/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dB</w:t>
      </w:r>
      <w:proofErr w:type="spellEnd"/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 każdy.</w:t>
      </w:r>
    </w:p>
    <w:p w14:paraId="2E237090" w14:textId="77777777" w:rsidR="00014A51" w:rsidRPr="00014A51" w:rsidRDefault="00014A51" w:rsidP="00014A51">
      <w:pPr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 w:cs="Calibri"/>
          <w:bCs/>
          <w:i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/>
          <w:bCs/>
          <w:iCs/>
          <w:kern w:val="0"/>
          <w:sz w:val="21"/>
          <w:szCs w:val="21"/>
          <w:lang w:eastAsia="pl-PL"/>
          <w14:ligatures w14:val="none"/>
        </w:rPr>
        <w:t xml:space="preserve">Ustalić </w:t>
      </w:r>
      <w:r w:rsidRPr="00014A51">
        <w:rPr>
          <w:rFonts w:ascii="Century Gothic" w:eastAsia="Times New Roman" w:hAnsi="Century Gothic" w:cs="Calibri"/>
          <w:bCs/>
          <w:iCs/>
          <w:kern w:val="0"/>
          <w:sz w:val="21"/>
          <w:szCs w:val="21"/>
          <w:lang w:eastAsia="pl-PL"/>
          <w14:ligatures w14:val="none"/>
        </w:rPr>
        <w:t>charakterystykę planowanego przedsięwzięcia zawartą w załączniku do niniejszej decyzji jako jej integralną część.</w:t>
      </w:r>
    </w:p>
    <w:p w14:paraId="20A21563" w14:textId="77777777" w:rsidR="00014A51" w:rsidRPr="00014A51" w:rsidRDefault="00014A51" w:rsidP="00014A51">
      <w:pPr>
        <w:keepNext/>
        <w:spacing w:after="120" w:line="276" w:lineRule="auto"/>
        <w:jc w:val="center"/>
        <w:outlineLvl w:val="1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lastRenderedPageBreak/>
        <w:t>Uzasadnienie</w:t>
      </w:r>
    </w:p>
    <w:p w14:paraId="051B3EFA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1. 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Wnioskiem z dnia 14 kwietnia 2023 r. (data wpływu 17.04.2023 r.)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Inwestor PVE 128 Sp. z o.o., ul. J.J. Śniadeckich 21, 85-011 Bydgoszcz (adres do korespondencji Lisi Ogon, ul. Bydgoska 20, 86-065 Łochowo),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zwrócił się do Wójta Gminy Gniezno o wydanie decyzji o środowiskowych uwarunkowaniach dla przedsięwzięcia polegającego na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 budowie do 24 farm fotowoltaicznych o łącznej mocy do 24 MW wraz z niezbędną infrastrukturą techniczną w miejscowości Obora, Gmina Gniezno, działki nr 101/1 i 101/5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, dołączając do wniosku kartę informacyjną przedsięwzięcia (również w wersji elektronicznej), poświadczoną przez właściwy organ mapę ewidencyjną w skali 1:5000, obejmującą przewidywany teren na którym będzie realizowane przedsięwzięcie oraz obejmującą przewidywany obszar, na który będzie oddziaływać przedsięwzięcie, mapę z zaznaczonym przewidywanym terenem, na którym będzie realizowane przedsięwzięcie oraz z zaznaczonym przewidywanym obszarem, na który będzie oddziaływać przedsięwzięcie (również w wersji elektronicznej) oraz potwierdzenie wniesienia opłaty skarbowej za wydanie decyzji o środowiskowych uwarunkowaniach.</w:t>
      </w:r>
    </w:p>
    <w:p w14:paraId="014B9F4B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2. Planowane przedsięwzięcie należy do przedsięwzięć mogących potencjalnie znacząco oddziaływać na środowisko – wymienione jest w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 xml:space="preserve">§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14:ligatures w14:val="none"/>
        </w:rPr>
        <w:t xml:space="preserve">3 ust. 1 pkt 54 lit. b  </w:t>
      </w:r>
      <w:r w:rsidRPr="00014A51">
        <w:rPr>
          <w:rFonts w:ascii="Century Gothic" w:eastAsia="Times New Roman" w:hAnsi="Century Gothic" w:cs="Calibri"/>
          <w:bCs/>
          <w:kern w:val="0"/>
          <w:sz w:val="21"/>
          <w:szCs w:val="21"/>
          <w:lang w:eastAsia="pl-PL"/>
          <w14:ligatures w14:val="none"/>
        </w:rPr>
        <w:t>Rozporządzenia Rady Ministrów z dnia 10 września 2019 r. w sprawie przedsięwzięć mogących znacząco oddziaływać na środowisko /Dz. U. z 2019 r. poz. 1839/.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Wobec</w:t>
      </w:r>
      <w:r w:rsidRPr="00014A51">
        <w:rPr>
          <w:rFonts w:ascii="Century Gothic" w:eastAsia="Times New Roman" w:hAnsi="Century Gothic" w:cs="Calibri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powyż</w:t>
      </w:r>
      <w:r w:rsidRPr="00014A51">
        <w:rPr>
          <w:rFonts w:ascii="Century Gothic" w:eastAsia="Times New Roman" w:hAnsi="Century Gothic" w:cs="Calibri"/>
          <w:spacing w:val="-17"/>
          <w:kern w:val="0"/>
          <w:sz w:val="21"/>
          <w:szCs w:val="21"/>
          <w:lang w:eastAsia="pl-PL"/>
          <w14:ligatures w14:val="none"/>
        </w:rPr>
        <w:t>s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zego</w:t>
      </w:r>
      <w:r w:rsidRPr="00014A51">
        <w:rPr>
          <w:rFonts w:ascii="Century Gothic" w:eastAsia="Times New Roman" w:hAnsi="Century Gothic" w:cs="Calibri"/>
          <w:spacing w:val="46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przedmiotowe</w:t>
      </w:r>
      <w:r w:rsidRPr="00014A51">
        <w:rPr>
          <w:rFonts w:ascii="Century Gothic" w:eastAsia="Times New Roman" w:hAnsi="Century Gothic" w:cs="Calibri"/>
          <w:spacing w:val="37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przedsięwzięcie</w:t>
      </w:r>
      <w:r w:rsidRPr="00014A51">
        <w:rPr>
          <w:rFonts w:ascii="Century Gothic" w:eastAsia="Times New Roman" w:hAnsi="Century Gothic" w:cs="Calibri"/>
          <w:spacing w:val="16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zalicza</w:t>
      </w:r>
      <w:r w:rsidRPr="00014A51">
        <w:rPr>
          <w:rFonts w:ascii="Century Gothic" w:eastAsia="Times New Roman" w:hAnsi="Century Gothic" w:cs="Calibri"/>
          <w:spacing w:val="13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się do</w:t>
      </w:r>
      <w:r w:rsidRPr="00014A51">
        <w:rPr>
          <w:rFonts w:ascii="Century Gothic" w:eastAsia="Times New Roman" w:hAnsi="Century Gothic" w:cs="Calibri"/>
          <w:spacing w:val="1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przedsięwzięć</w:t>
      </w:r>
      <w:r w:rsidRPr="00014A51">
        <w:rPr>
          <w:rFonts w:ascii="Century Gothic" w:eastAsia="Times New Roman" w:hAnsi="Century Gothic" w:cs="Calibri"/>
          <w:spacing w:val="17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mogących potencjalnie </w:t>
      </w:r>
      <w:r w:rsidRPr="00014A51">
        <w:rPr>
          <w:rFonts w:ascii="Century Gothic" w:eastAsia="Times New Roman" w:hAnsi="Century Gothic" w:cs="Calibri"/>
          <w:spacing w:val="7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znacząco</w:t>
      </w:r>
      <w:r w:rsidRPr="00014A51">
        <w:rPr>
          <w:rFonts w:ascii="Century Gothic" w:eastAsia="Times New Roman" w:hAnsi="Century Gothic" w:cs="Calibri"/>
          <w:spacing w:val="-18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oddziaływać </w:t>
      </w:r>
      <w:r w:rsidRPr="00014A51">
        <w:rPr>
          <w:rFonts w:ascii="Century Gothic" w:eastAsia="Times New Roman" w:hAnsi="Century Gothic" w:cs="Calibri"/>
          <w:spacing w:val="6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na</w:t>
      </w:r>
      <w:r w:rsidRPr="00014A51">
        <w:rPr>
          <w:rFonts w:ascii="Century Gothic" w:eastAsia="Times New Roman" w:hAnsi="Century Gothic" w:cs="Calibri"/>
          <w:spacing w:val="27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środowisko,</w:t>
      </w:r>
      <w:r w:rsidRPr="00014A51">
        <w:rPr>
          <w:rFonts w:ascii="Century Gothic" w:eastAsia="Times New Roman" w:hAnsi="Century Gothic" w:cs="Calibri"/>
          <w:spacing w:val="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dla</w:t>
      </w:r>
      <w:r w:rsidRPr="00014A51">
        <w:rPr>
          <w:rFonts w:ascii="Century Gothic" w:eastAsia="Times New Roman" w:hAnsi="Century Gothic" w:cs="Calibri"/>
          <w:spacing w:val="42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których</w:t>
      </w:r>
      <w:r w:rsidRPr="00014A51">
        <w:rPr>
          <w:rFonts w:ascii="Century Gothic" w:eastAsia="Times New Roman" w:hAnsi="Century Gothic" w:cs="Calibri"/>
          <w:spacing w:val="48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obowiązek</w:t>
      </w:r>
      <w:r w:rsidRPr="00014A51">
        <w:rPr>
          <w:rFonts w:ascii="Century Gothic" w:eastAsia="Times New Roman" w:hAnsi="Century Gothic" w:cs="Calibri"/>
          <w:spacing w:val="-4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w w:val="102"/>
          <w:kern w:val="0"/>
          <w:sz w:val="21"/>
          <w:szCs w:val="21"/>
          <w:lang w:eastAsia="pl-PL"/>
          <w14:ligatures w14:val="none"/>
        </w:rPr>
        <w:t>przeprowa</w:t>
      </w:r>
      <w:r w:rsidRPr="00014A51">
        <w:rPr>
          <w:rFonts w:ascii="Century Gothic" w:eastAsia="Times New Roman" w:hAnsi="Century Gothic" w:cs="Calibri"/>
          <w:spacing w:val="11"/>
          <w:w w:val="103"/>
          <w:kern w:val="0"/>
          <w:sz w:val="21"/>
          <w:szCs w:val="21"/>
          <w:lang w:eastAsia="pl-PL"/>
          <w14:ligatures w14:val="none"/>
        </w:rPr>
        <w:t>d</w:t>
      </w:r>
      <w:r w:rsidRPr="00014A51">
        <w:rPr>
          <w:rFonts w:ascii="Century Gothic" w:eastAsia="Times New Roman" w:hAnsi="Century Gothic" w:cs="Calibri"/>
          <w:w w:val="107"/>
          <w:kern w:val="0"/>
          <w:sz w:val="21"/>
          <w:szCs w:val="21"/>
          <w:lang w:eastAsia="pl-PL"/>
          <w14:ligatures w14:val="none"/>
        </w:rPr>
        <w:t>z</w:t>
      </w:r>
      <w:r w:rsidRPr="00014A51">
        <w:rPr>
          <w:rFonts w:ascii="Century Gothic" w:eastAsia="Times New Roman" w:hAnsi="Century Gothic" w:cs="Calibri"/>
          <w:spacing w:val="-3"/>
          <w:w w:val="107"/>
          <w:kern w:val="0"/>
          <w:sz w:val="21"/>
          <w:szCs w:val="21"/>
          <w:lang w:eastAsia="pl-PL"/>
          <w14:ligatures w14:val="none"/>
        </w:rPr>
        <w:t>e</w:t>
      </w:r>
      <w:r w:rsidRPr="00014A51">
        <w:rPr>
          <w:rFonts w:ascii="Century Gothic" w:eastAsia="Times New Roman" w:hAnsi="Century Gothic" w:cs="Calibri"/>
          <w:w w:val="99"/>
          <w:kern w:val="0"/>
          <w:sz w:val="21"/>
          <w:szCs w:val="21"/>
          <w:lang w:eastAsia="pl-PL"/>
          <w14:ligatures w14:val="none"/>
        </w:rPr>
        <w:t xml:space="preserve">nia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oceny</w:t>
      </w:r>
      <w:r w:rsidRPr="00014A51">
        <w:rPr>
          <w:rFonts w:ascii="Century Gothic" w:eastAsia="Times New Roman" w:hAnsi="Century Gothic" w:cs="Calibri"/>
          <w:spacing w:val="22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oddziaływania</w:t>
      </w:r>
      <w:r w:rsidRPr="00014A51">
        <w:rPr>
          <w:rFonts w:ascii="Century Gothic" w:eastAsia="Times New Roman" w:hAnsi="Century Gothic" w:cs="Calibri"/>
          <w:spacing w:val="4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na środowisko</w:t>
      </w:r>
      <w:r w:rsidRPr="00014A51">
        <w:rPr>
          <w:rFonts w:ascii="Century Gothic" w:eastAsia="Times New Roman" w:hAnsi="Century Gothic" w:cs="Calibri"/>
          <w:spacing w:val="40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może</w:t>
      </w:r>
      <w:r w:rsidRPr="00014A51">
        <w:rPr>
          <w:rFonts w:ascii="Century Gothic" w:eastAsia="Times New Roman" w:hAnsi="Century Gothic" w:cs="Calibri"/>
          <w:spacing w:val="26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być</w:t>
      </w:r>
      <w:r w:rsidRPr="00014A51">
        <w:rPr>
          <w:rFonts w:ascii="Century Gothic" w:eastAsia="Times New Roman" w:hAnsi="Century Gothic" w:cs="Calibri"/>
          <w:spacing w:val="-4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w w:val="103"/>
          <w:kern w:val="0"/>
          <w:sz w:val="21"/>
          <w:szCs w:val="21"/>
          <w:lang w:eastAsia="pl-PL"/>
          <w14:ligatures w14:val="none"/>
        </w:rPr>
        <w:t>stwierdzony.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 Z dniem 13.09.2023 r. weszło w życie rozporządzenie Rady Ministrów z 10 sierpnia 2023 r. (Dz.U. z 2023 r., poz. 1724) zmieniające rozporządzenie w sprawie przedsięwzięć mogących znacząco oddziaływać na środowisko, którego S 2 stanowi, że do przedsięwzięć, o których mowa w S 3 ust. 1 pkt 54 i 58 rozporządzenia zmienianego w S 1, w brzmieniu obowiązującym przed dniem jego wejścia w życie, w przypadku których przed dniem wejścia w życie tego rozporządzenia wszczęto i nie zakończono przynajmniej jednego z postępowań w sprawie wydania decyzji, zgłoszeń lub uchwał, o których mowa w art. 71 ust. 1 oraz art. 72 ust. 1lb ustawy z dnia 3 października 2008 r. o udostępnianiu informacji o środowisku i jego ochronie, udziale społeczeństwa w ochronie środowiska oraz o ocenach oddziaływania na środowisko (Dz. U. z 2023 r. poz. 1094 z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późn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. zm.) dalej ustawy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ooś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, stosuje się przepisy dotychczasowe.</w:t>
      </w:r>
    </w:p>
    <w:p w14:paraId="4D2AA2A3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 xml:space="preserve">3. Dane o wniosku zostały zamieszczone w publicznie dostępnym wykazie danych, </w:t>
      </w: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br/>
        <w:t>z którym można się zapoznać w Urzędzie Gminy Gniezno, al. Reymonta 9-11, pokój nr 9, w godzinach urzędowania oraz na stronie internetowej www.ekoportal.gov.pl – centrum informacji o środowisku.</w:t>
      </w:r>
    </w:p>
    <w:p w14:paraId="77AE2F5D" w14:textId="77777777" w:rsidR="00014A51" w:rsidRPr="00014A51" w:rsidRDefault="00014A51" w:rsidP="00014A51">
      <w:pPr>
        <w:spacing w:after="0" w:line="276" w:lineRule="auto"/>
        <w:contextualSpacing/>
        <w:jc w:val="both"/>
        <w:rPr>
          <w:rFonts w:ascii="Century Gothic" w:hAnsi="Century Gothic" w:cs="Times New Roman"/>
          <w:sz w:val="21"/>
          <w:szCs w:val="21"/>
        </w:rPr>
      </w:pPr>
      <w:r w:rsidRPr="00014A51">
        <w:rPr>
          <w:rFonts w:ascii="Century Gothic" w:hAnsi="Century Gothic" w:cs="Calibri"/>
          <w:w w:val="103"/>
          <w:sz w:val="21"/>
          <w:szCs w:val="21"/>
        </w:rPr>
        <w:t>4. W związku</w:t>
      </w:r>
      <w:r w:rsidRPr="00014A51">
        <w:rPr>
          <w:rFonts w:ascii="Century Gothic" w:hAnsi="Century Gothic"/>
          <w:sz w:val="21"/>
          <w:szCs w:val="21"/>
        </w:rPr>
        <w:t xml:space="preserve"> z tym, iż liczba stron przedmiotowego postępowania przekraczała 10, Wójt Gminy Gniezno zawiadomił strony postępowania administracyjnego w formie Obwieszczenia (znak OŚR. 6220.6.2023 z dnia 24 kwietnia 2023 r.,) o wszczętym w dniu 17 kwietnia 2023 r. postępowaniu w sprawie wydania decyzji o środowiskowych uwarunkowaniach dla wnioskowanego przedsięwzięcia informując o możliwości zapoznania się z aktami sprawy.</w:t>
      </w:r>
    </w:p>
    <w:p w14:paraId="705BFA85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 xml:space="preserve">5. Zgodnie z art. 64 ust. 1 pkt 1, 2 i 4, ust. 2, 3 i 4 ustawy z dnia 3 października </w:t>
      </w:r>
      <w:r w:rsidRPr="00014A51">
        <w:rPr>
          <w:rFonts w:ascii="Century Gothic" w:eastAsia="Calibri" w:hAnsi="Century Gothic" w:cs="Calibri"/>
          <w:bCs/>
          <w:kern w:val="0"/>
          <w:sz w:val="21"/>
          <w:szCs w:val="21"/>
          <w:lang w:eastAsia="pl-PL"/>
          <w14:ligatures w14:val="none"/>
        </w:rPr>
        <w:t>2008 roku o udostępnianiu informacji o środowisku i jego ochronie, udziale społeczeństwa w ochronie środowiska oraz o ocenach oddziaływania na środowisko</w:t>
      </w: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 xml:space="preserve"> Organ prowadzący postępowanie wystąpił o opinię w sprawie potrzeby przeprowadzenia OOŚ i ewentualne określenie zakresu raportu do Regionalnego Dyrektora Ochrony Środowiska w Poznaniu, </w:t>
      </w: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lastRenderedPageBreak/>
        <w:t xml:space="preserve">Państwowego Powiatowego Inspektora Sanitarnego w Gnieźnie oraz Dyrektora Zarządu Zlewni Wód Polskich w Poznaniu. Organy te wydały następujące opinie: </w:t>
      </w:r>
    </w:p>
    <w:p w14:paraId="13A6A459" w14:textId="77777777" w:rsidR="00014A51" w:rsidRPr="00014A51" w:rsidRDefault="00014A51" w:rsidP="00014A51">
      <w:pPr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Państwowy Powiatowy Inspektor Sanitarny w Gnieźnie – Opinia sanitarna z dnia 5 maja 2023 r. znak ON-NS.9022.5.19.2023 (data wpływu 5.05.2023 r.), podtrzymana Postanowieniem z dnia 14 grudnia 2023 r. znak ON-NS.9022.5.19.2023 (data wpływu 14.12.2023 r.),</w:t>
      </w:r>
    </w:p>
    <w:p w14:paraId="7AFBB0B0" w14:textId="77777777" w:rsidR="00014A51" w:rsidRPr="00014A51" w:rsidRDefault="00014A51" w:rsidP="00014A51">
      <w:pPr>
        <w:numPr>
          <w:ilvl w:val="0"/>
          <w:numId w:val="3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Dyrektor Zarządu Zlewni Wód Polskich w Poznaniu – Opinia z dnia 8 maja 2023 r. znak PO.ZZŚ.4.4901.233.2023.MS.1 (data wpływu 8.05.2023 r.), podtrzymana opinią z dnia 21 grudnia 2023 r. znak PO.ZZŚ.4.4901.233.2023.MS.2 (data wpływu 21.12.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br/>
        <w:t>2023 r.).</w:t>
      </w:r>
    </w:p>
    <w:p w14:paraId="24B63F48" w14:textId="77777777" w:rsidR="00014A51" w:rsidRPr="00014A51" w:rsidRDefault="00014A51" w:rsidP="00014A51">
      <w:pPr>
        <w:numPr>
          <w:ilvl w:val="0"/>
          <w:numId w:val="3"/>
        </w:numPr>
        <w:spacing w:after="0" w:line="276" w:lineRule="auto"/>
        <w:jc w:val="both"/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>Regionalny Dyrektor Ochrony Środowiska w Poznaniu – Postanowienie z dnia 11 stycznia 2024 r. znak WOO-IV.4220.545.2023.KL.3 (data wpływu 11.01.2024 r.),</w:t>
      </w:r>
    </w:p>
    <w:p w14:paraId="7EA683FF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Calibri" w:hAnsi="Century Gothic" w:cs="Calibri"/>
          <w:kern w:val="0"/>
          <w:sz w:val="21"/>
          <w:szCs w:val="21"/>
          <w:lang w:eastAsia="pl-PL"/>
          <w14:ligatures w14:val="none"/>
        </w:rPr>
        <w:t>stwierdzające brak potrzeby przeprowadzania oceny oddziaływania przedmiotowego przedsięwzięcia na środowisko (brak potrzeby wykonania raportu dla ww. przedsięwzięcia).</w:t>
      </w:r>
    </w:p>
    <w:p w14:paraId="5522BB7B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Warunki i wymagania określone w ww. dokumentach zostały uwzględnione w sentencji niniejszej decyzji. </w:t>
      </w:r>
    </w:p>
    <w:p w14:paraId="307F429D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6.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Pismem znak WOO-IV.4220.545.2023.KL.1 z dnia 9 maja 2023 r. </w:t>
      </w:r>
      <w:r w:rsidRPr="00014A51">
        <w:rPr>
          <w:rFonts w:ascii="Century Gothic" w:eastAsia="Times New Roman" w:hAnsi="Century Gothic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(data wpływu 9.05.2023 r.)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Regionalny Dyrektor Ochrony Środowiska w Poznaniu zwrócił się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br/>
        <w:t>o uzupełnienie przedłożonych dokumentów. W związku powyższym Wójt Gminy Gniezno działając na podstawie art. 50 § 1 oraz w myśl art. 7 i 77 ustawy z dnia 14 czerwca 1960 r. Kodeks postępowania administracyjnego zwrócił się do Inwestora PVE 128 Sp. z o.o., ul. J.J. Śniadeckich 21, 85-011 Bydgoszcz (adres do korespondencji  Lisi Ogon, ul. Bydgoska 20, 86-065 Łochowo), z prośbą o uzupełnienie</w:t>
      </w:r>
      <w:r w:rsidRPr="00014A51">
        <w:rPr>
          <w:rFonts w:ascii="Century Gothic" w:eastAsia="Times New Roman" w:hAnsi="Century Gothic" w:cs="Arial"/>
          <w:b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karty informacyjnej przedsięwzięcia (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k.i.p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.), w zakresie wskazanym w ww. piśmie </w:t>
      </w:r>
      <w:r w:rsidRPr="00014A51">
        <w:rPr>
          <w:rFonts w:ascii="Century Gothic" w:eastAsia="Times New Roman" w:hAnsi="Century Gothic" w:cs="Times New Roman"/>
          <w:color w:val="000000"/>
          <w:kern w:val="0"/>
          <w:sz w:val="21"/>
          <w:szCs w:val="21"/>
          <w:lang w:eastAsia="pl-PL"/>
          <w14:ligatures w14:val="none"/>
        </w:rPr>
        <w:t>Regionalnego Dyrektora Ochrony Środowiska w Poznaniu wyznaczając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 jednocześnie 21-dniowy termin spełnienia żądania wynikającego z wezwania. </w:t>
      </w:r>
    </w:p>
    <w:p w14:paraId="1D2B4E37" w14:textId="77777777" w:rsidR="00014A51" w:rsidRPr="00014A51" w:rsidRDefault="00014A51" w:rsidP="00014A51">
      <w:pPr>
        <w:widowControl w:val="0"/>
        <w:spacing w:after="0" w:line="276" w:lineRule="auto"/>
        <w:jc w:val="both"/>
        <w:rPr>
          <w:rFonts w:ascii="Century Gothic" w:eastAsia="Times New Roman" w:hAnsi="Century Gothic" w:cs="Times New Roman"/>
          <w:i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7. W odpowiedzi na powyższe wnioskiem z</w:t>
      </w:r>
      <w:r w:rsidRPr="00014A51">
        <w:rPr>
          <w:rFonts w:ascii="Century Gothic" w:eastAsia="Times New Roman" w:hAnsi="Century Gothic" w:cs="Times New Roman"/>
          <w:spacing w:val="14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dnia</w:t>
      </w:r>
      <w:r w:rsidRPr="00014A51">
        <w:rPr>
          <w:rFonts w:ascii="Century Gothic" w:eastAsia="Times New Roman" w:hAnsi="Century Gothic" w:cs="Times New Roman"/>
          <w:spacing w:val="41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29 maja 2023 roku (data wpływu 31.05.2023 r.) Inwestor PVE 128 Sp. z o.o., ul. J.J. Śniadeckich 21, 85-011 Bydgoszcz (adres do korespondencji Lisi Ogon, ul. Bydgoska 20, 86-065 Łochowo), zwrócił</w:t>
      </w:r>
      <w:r w:rsidRPr="00014A51">
        <w:rPr>
          <w:rFonts w:ascii="Century Gothic" w:eastAsia="Times New Roman" w:hAnsi="Century Gothic" w:cs="Times New Roman"/>
          <w:spacing w:val="48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się</w:t>
      </w:r>
      <w:r w:rsidRPr="00014A51">
        <w:rPr>
          <w:rFonts w:ascii="Century Gothic" w:eastAsia="Times New Roman" w:hAnsi="Century Gothic" w:cs="Times New Roman"/>
          <w:spacing w:val="24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do</w:t>
      </w:r>
      <w:r w:rsidRPr="00014A51">
        <w:rPr>
          <w:rFonts w:ascii="Century Gothic" w:eastAsia="Times New Roman" w:hAnsi="Century Gothic" w:cs="Times New Roman"/>
          <w:spacing w:val="38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Wójta</w:t>
      </w:r>
      <w:r w:rsidRPr="00014A51">
        <w:rPr>
          <w:rFonts w:ascii="Century Gothic" w:eastAsia="Times New Roman" w:hAnsi="Century Gothic" w:cs="Times New Roman"/>
          <w:spacing w:val="43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Gminy</w:t>
      </w:r>
      <w:r w:rsidRPr="00014A51">
        <w:rPr>
          <w:rFonts w:ascii="Century Gothic" w:eastAsia="Times New Roman" w:hAnsi="Century Gothic" w:cs="Times New Roman"/>
          <w:spacing w:val="51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Gniezno</w:t>
      </w:r>
      <w:r w:rsidRPr="00014A51">
        <w:rPr>
          <w:rFonts w:ascii="Century Gothic" w:eastAsia="Times New Roman" w:hAnsi="Century Gothic" w:cs="Times New Roman"/>
          <w:spacing w:val="57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014A51">
        <w:rPr>
          <w:rFonts w:ascii="Century Gothic" w:eastAsia="Times New Roman" w:hAnsi="Century Gothic" w:cs="Times New Roman"/>
          <w:spacing w:val="3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zawieszenie postępowania administracyjnego w sprawie wydania </w:t>
      </w:r>
      <w:r w:rsidRPr="00014A51">
        <w:rPr>
          <w:rFonts w:ascii="Century Gothic" w:eastAsia="Times New Roman" w:hAnsi="Century Gothic" w:cs="Times New Roman"/>
          <w:w w:val="103"/>
          <w:kern w:val="0"/>
          <w:sz w:val="21"/>
          <w:szCs w:val="21"/>
          <w:lang w:eastAsia="pl-PL"/>
          <w14:ligatures w14:val="none"/>
        </w:rPr>
        <w:t xml:space="preserve">decyzji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o</w:t>
      </w:r>
      <w:r w:rsidRPr="00014A51">
        <w:rPr>
          <w:rFonts w:ascii="Century Gothic" w:eastAsia="Times New Roman" w:hAnsi="Century Gothic" w:cs="Times New Roman"/>
          <w:spacing w:val="10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środowiskowych</w:t>
      </w:r>
      <w:r w:rsidRPr="00014A51">
        <w:rPr>
          <w:rFonts w:ascii="Century Gothic" w:eastAsia="Times New Roman" w:hAnsi="Century Gothic" w:cs="Times New Roman"/>
          <w:spacing w:val="9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uwarunkowaniach</w:t>
      </w:r>
      <w:r w:rsidRPr="00014A51">
        <w:rPr>
          <w:rFonts w:ascii="Century Gothic" w:eastAsia="Times New Roman" w:hAnsi="Century Gothic" w:cs="Times New Roman"/>
          <w:spacing w:val="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dla</w:t>
      </w:r>
      <w:r w:rsidRPr="00014A51">
        <w:rPr>
          <w:rFonts w:ascii="Century Gothic" w:eastAsia="Times New Roman" w:hAnsi="Century Gothic" w:cs="Times New Roman"/>
          <w:spacing w:val="20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w w:val="105"/>
          <w:kern w:val="0"/>
          <w:sz w:val="21"/>
          <w:szCs w:val="21"/>
          <w:lang w:eastAsia="pl-PL"/>
          <w14:ligatures w14:val="none"/>
        </w:rPr>
        <w:t>przedsięwzięcia polegającego</w:t>
      </w:r>
      <w:r w:rsidRPr="00014A51">
        <w:rPr>
          <w:rFonts w:ascii="Century Gothic" w:eastAsia="Times New Roman" w:hAnsi="Century Gothic" w:cs="Times New Roman"/>
          <w:spacing w:val="22"/>
          <w:w w:val="105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na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>budowie do 24 farm fotowoltaicznych o łącznej mocy do 24 MW wraz z niezbędną infrastrukturą techniczną w miejscowości Obora, Gmina Gniezno, działki nr 101/1 i 101/5</w:t>
      </w: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z uwagi na konieczność uzupełnienia karty informacyjnej przedmiotowego przedsięwzięcia. </w:t>
      </w:r>
    </w:p>
    <w:p w14:paraId="21644AE8" w14:textId="77777777" w:rsidR="00014A51" w:rsidRPr="00014A51" w:rsidRDefault="00014A51" w:rsidP="00014A51">
      <w:pPr>
        <w:shd w:val="clear" w:color="auto" w:fill="FFFFFF"/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>W związku z ww. wnioskiem Inwestora Wójt Gminy Gniezno Obwieszczeniem z dnia 5 czerwca 2023 roku wydał Postanowienie o zawieszeniu przedmiotowego postępowania, informując o tym fakcie strony postępowania.</w:t>
      </w:r>
    </w:p>
    <w:p w14:paraId="1F9A5F3B" w14:textId="77777777" w:rsidR="00014A51" w:rsidRPr="00014A51" w:rsidRDefault="00014A51" w:rsidP="00014A51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8. Dnia 24 listopada 2023 roku Inwestor PVE 128 Sp. z o.o., ul. J.J. Śniadeckich 21, 85-011 Bydgoszcz (adres do korespondencji Lisi Ogon, ul. Bydgoska 20, 86-065 Łochowo), przedłożył Wójtowi Gminy Gniezno uzupełnienie karty informacyjnej dla przedmiotowego przedsięwzięcia wraz z inwentaryzacją przyrodniczą. </w:t>
      </w:r>
    </w:p>
    <w:p w14:paraId="00440FB6" w14:textId="77777777" w:rsidR="00014A51" w:rsidRPr="00014A51" w:rsidRDefault="00014A51" w:rsidP="00014A51">
      <w:pPr>
        <w:shd w:val="clear" w:color="auto" w:fill="FFFFFF"/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W związku z ww. wnioskiem Inwestora Wójt Gminy Gniezno Obwieszczeniem z dnia 29 listopada 2023 roku wydał Postanowienie o podjęciu przedmiotowego postępowania, informując o tym fakcie strony postępowania. Uzupełnienie karty informacyjnej przedsięwzięcia zostało przekazane w dniu 4 grudnia 2023 roku wszystkim Organom opiniującym. </w:t>
      </w:r>
    </w:p>
    <w:p w14:paraId="4E1B7236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lastRenderedPageBreak/>
        <w:t xml:space="preserve">9. Wójt Gminy Gniezno na podstawie wniosku, karty informacyjnej przedsięwzięcia, wyjaśnień złożonych przez inwestora, po uwzględnieniu stanowisk organów opiniujących oraz dokładnej analizie przesłanek, wynikających z art. 63 ust. 1 pkt 1-3 ustawy z dnia 3 października 2008 roku o udostępnianiu informacji o środowisku i jego ochronie, udziale społeczeństwa w ochronie środowiska oraz o ocenach oddziaływania na środowisko,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br/>
        <w:t>a przede wszystkim takich cech przedsięwzięcia jak:</w:t>
      </w:r>
    </w:p>
    <w:p w14:paraId="0DF96B32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 xml:space="preserve">1. rodzaj i charakterystyka przedsięwzięcia </w:t>
      </w:r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1 ustawy </w:t>
      </w:r>
      <w:proofErr w:type="spellStart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– planowane przedsięwzięcie polegać będzie na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 </w:t>
      </w:r>
      <w:bookmarkStart w:id="1" w:name="_Hlk156544061"/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>budowie do 24 farm fotowoltaicznych o łącznej mocy do 24 MW wraz z niezbędną infrastrukturą techniczną w miejscowości Obora, Gmina Gniezno, działki nr 101/1 i 101/5.</w:t>
      </w:r>
      <w:bookmarkEnd w:id="1"/>
    </w:p>
    <w:p w14:paraId="34921C68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Przewiduje się użycie na farmie fotowoltaicznej do 4500 sztuk paneli fotowoltaicznych na 1 MW zainstalowanej mocy (w zależności od mocy użytych paneli). Łączna liczba paneli wyniesie więc do 108000 sztuk. Całkowita wysokość instalacji wyniesie do 5 m, a odległość między rzędami do 10 m. Ponadto farma fotowoltaiczna składać się będzie z następujących elementów: 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paneli fotowoltaicznych, dróg wewnętrznych, linii kablowych energetyczno-światłowodowych, przyłącza elektroenergetycznego, do 24 stacji transformatorowych, do 24 magazynów energii (zespoły baterii znajdujące się w niewielkim budynku — kontenerze o wysokość do 5 m), do 336 sztuk inwerterów oraz innych niezbędnych elementów infrastruktury związanych z budową i eksploatacją parku ogniw, które służyć będą do monitoringu pracy instalacji i ochrony przed zniszczeniem i włamaniem (czujniki alarmowe).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Podczas realizacji planowanej inwestycji, dopuszcza się jej etapowanie. W przypadku przedmiotowej inwestycji możliwa jest jej realizacja w maksymalnie 24 etapach. Przy czym zaznacza się, iż każdy etap może mieć różną moc. Sumaryczna moc zrealizowanych części nie przekroczy 24 MW. </w:t>
      </w:r>
    </w:p>
    <w:p w14:paraId="645880F2" w14:textId="77777777" w:rsidR="00014A51" w:rsidRPr="00014A51" w:rsidRDefault="00014A51" w:rsidP="00014A51">
      <w:pPr>
        <w:spacing w:after="0" w:line="276" w:lineRule="auto"/>
        <w:ind w:left="708" w:firstLine="12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Całkowita powierzchnia 1 stacji transformatorowej i 1 magazynu energii wyniesie do 75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rn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vertAlign w:val="superscript"/>
          <w14:ligatures w14:val="none"/>
        </w:rPr>
        <w:t xml:space="preserve">2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, co w przypadku planowanych farm o łącznej mocy do 24 MW daje do ok. 1800 rn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vertAlign w:val="superscript"/>
          <w14:ligatures w14:val="none"/>
        </w:rPr>
        <w:t xml:space="preserve">2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. Rozwiązania, ograniczające potencjalny negatywny wpływ na środowisko gruntowo-wodne, zostały zawarte w warunkach wskazanych w niniejszej decyzji. Dodatkowo wskazano, aby bateryjne magazyny energii umieścić w kontenerach ze szczelnymi posadzkami, a także w przypadku transformatorów suchych zastosować szczelne posadzki.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 W przypadku zamontowania transformatora olejowego, zostanie on wyposażony w szczelną misę, mogącą zmagazynować całą objętość oleju oraz pozostałości po ewentualnej akcji gaśniczej.</w:t>
      </w:r>
    </w:p>
    <w:p w14:paraId="3257A27A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Na podstawie informacji zawartych w Karcie informacyjnej przedsięwzięcia oraz map ustalono, że najbliższy teren chroniony akustycznie znajduje się na działce sąsiedniej, w kierunku zachodnim od działki nr 101/1 w m. Obora i stanowi teren zabudowy zagrodowej.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Tereny zabudowy zagrodowej znajdują się w odległości ok 50 m od planowanego przedsięwzięcia.</w:t>
      </w:r>
    </w:p>
    <w:p w14:paraId="6700DEA3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Na etapie realizacji przedsięwzięcia źródłem emisji hałasu będą przede wszystkim urządzenia montażowe oraz pojazdy poruszające się po terenie zainwestowania.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Będą to uciążliwości krótkotrwałe i odwracalne.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W związku z powyższym, w celu ograniczenia uciążliwości akustycznej, w niniejszej decyzji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nałożono warunek prowadzenia prac budowlanych oraz ruchu pojazdów wyłącznie w porze dziennej, tj. w godz. 6.00-22.00.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Na etapie eksploatacji przedsięwzięcia głównym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źródłem emisji hałasu będzie praca inwerterów, stacji transformatorowych i magazynów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lastRenderedPageBreak/>
        <w:t xml:space="preserve">energii. Wnioskodawca zakłada, że każdy z inwerterów będzie charakteryzować się poziomem mocy akustycznej do 65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dB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. Powyższe założenia uwzględniono w warunkach niniejszej decyzji o środowiskowych uwarunkowaniach. Maksymalny poziom mocy akustycznej każdej stacji nie przekroczy 77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dB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, tak samo jak każdego z magazynów energii. Z treści uzupełnienia do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k.i.p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. wynika również, że stacje transformatorowe i magazyny energii zostaną zlokalizowane w odległości około 70 m od granicy terenów wymagających ochrony przed hałasem, czyli zabudowy zagrodowej Powyższe potwierdza również załącznik graficzny przedstawiający orientacyjne położenie poszczególnych elementów/obiektów na terenie planowanego przedsięwzięcia. Celem ograniczenia uciążliwości akustycznej w warunkach niniejszej decyzji wskazano wytyczne co do lokalizacji transformatorów i magazynów energii, liczbę planowanych transformatorów i magazynów energii, a także liczbę planowanych inwerterów wraz z ich poziomem mocy akustycznej.</w:t>
      </w:r>
    </w:p>
    <w:p w14:paraId="2769F586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Z przedstawionej analizy akustycznej uwzględniającej powyższe założenia wynika, że zostaną dotrzymane dopuszczalne poziomy hałasu określone w rozporządzeniu Ministra Środowiska z dnia 14 czerwca 2007 r. w sprawie dopuszczalnych poziomów hałasu w środowisku (Dz. U. z 2014 r., poz. 112) na granicy najbliższych terenów chronionych akustycznie.</w:t>
      </w:r>
    </w:p>
    <w:p w14:paraId="26FCD525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Ponadto mając na uwadze przyjęte rozwiązania techniczne, w tym napięcia infrastruktury energetycznej, nie przewiduje się, aby eksploatacja inwestycji mogła powodować przekroczenie dopuszczalnych poziomów pól elektromagnetycznych w środowisku określonych w rozporządzeniu Ministra Zdrowia z dnia 17 grudnia 2019 r. w sprawie dopuszczalnych poziomów pól elektromagnetycznych w środowisku /Dz. U. z 2019 r., poz. 2448/.</w:t>
      </w:r>
    </w:p>
    <w:p w14:paraId="4C89C083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Times New Roman"/>
          <w:kern w:val="0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Planowane przedsięwzięcie, przy uwzględnieniu używanych substancji i stosowanych technologii, nie należy do zakładów o dużym lub zwiększonym ryzyku wystąpienia poważnej awarii, określonych w Rozporządzeniu Ministra Rozwoju z dnia 29 stycznia 2016 r. w sprawie rodzajów i ilości znajdujących się w zakładzie substancji niebezpiecznych, decydujących o zaliczeniu zakładu do zakładu o zwiększonym lub dużym ryzyku wystąpienia poważnej awarii przemysłowej /Dz. U. z 2016 r., poz. 138/. Ponadto uwzględniając realizację i eksploatację przedsięwzięcia zgodnie z obowiązującymi normami i przepisami, ryzyko wystąpienia katastrof budowlanych będzie ograniczone. Teren planowanego przedsięwzięcia nie jest położony w strefie zagrożenia powodziowego, w strefie zagrożonej możliwością wystąpienia osuwisk, ruchów skorupy ziemskiej, klimatycznych i możliwych zdarzeń ekstremalnych. Przyjęte rozwiązania techniczne, w tym konstrukcja paneli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:shd w:val="clear" w:color="auto" w:fill="FFFFFF"/>
          <w14:ligatures w14:val="none"/>
        </w:rPr>
        <w:t xml:space="preserve">odporna na działanie wody, śniegu i gradu oraz zastosowane materiały o szerokim zakresie temperatury pracy i posiadające odpowiednie atesty i certyfikaty ograniczą wrażliwość przedsięwzięcia na zmiany klimatu. Ponadto </w:t>
      </w:r>
      <w:r w:rsidRPr="00014A51">
        <w:rPr>
          <w:rFonts w:ascii="Century Gothic" w:eastAsia="Times New Roman" w:hAnsi="Century Gothic" w:cs="Times New Roman"/>
          <w:kern w:val="0"/>
          <w14:ligatures w14:val="none"/>
        </w:rPr>
        <w:t>przedsięwzięcie przyczyni się do zwiększenia produkcji energii odnawialnej, a tym samym do zmniejszenia emisji zanieczyszczeń do atmosfery z innych źródeł, co może wpłynąć pozytywnie na zmiany klimatu.</w:t>
      </w:r>
    </w:p>
    <w:p w14:paraId="5BAB33C9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W sąsiedztwie działki objętej wnioskiem nie ustalono dodatkowych przedsięwzięć, </w:t>
      </w:r>
      <w:r w:rsidRPr="00014A51">
        <w:rPr>
          <w:rFonts w:ascii="Century Gothic" w:eastAsia="Calibri" w:hAnsi="Century Gothic" w:cs="Arial"/>
          <w:kern w:val="0"/>
          <w:sz w:val="21"/>
          <w:szCs w:val="21"/>
          <w14:ligatures w14:val="none"/>
        </w:rPr>
        <w:t>które swym oddziaływaniem mogłyby skumulować się z potencjalnym oddziaływaniem planowanej farmy fotowoltaicznej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.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Najbliższe dwie inne planowane do realizacji farmy fotowoltaiczne znajdują się w odległości 0,17 km w kierunku północno-wschodnim i 1,5 km w kierunku zachodnim. Planowane elektrownie słoneczne w krajobrazie mogą być postrzegane jako jedno większe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lastRenderedPageBreak/>
        <w:t>przedsięwzięcie. Biorąc powyższe pod uwagę, jednakże uwzględniając rodzaj i charakter przedmiotowego przedsięwzięcia, złożoność oddziaływania oraz realizację przedsięwzięcia zgodnie ze wskazanymi w niniejszej decyzji warunkami, w tym dotyczącymi lokalizacji źródeł hałasu, nie przewiduje się wystąpienia ponadnormatywnego oddziaływania skumulowanego.</w:t>
      </w:r>
    </w:p>
    <w:p w14:paraId="51EE89D3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Eksploatacja planowanego przedsięwzięcia nie będzie wiązała się ze stałym zapotrzebowaniem na wodę oraz z koniecznością odprowadzania ścieków.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Realizacja planowanego przedsięwzięcia nie będzie związana z ingerencją w koryta cieków lub z przekształceniem zbiorników wodnych lub rowów melioracyjnych.</w:t>
      </w:r>
      <w:r w:rsidRPr="00014A51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Elektrownie fotowoltaiczne zaliczają się do obiektów bezobsługowych, których funkcjonowanie nie będzie związane z powstawaniem ścieków bytowych. </w:t>
      </w:r>
    </w:p>
    <w:p w14:paraId="472A3B65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Calibri" w:hAnsi="Century Gothic" w:cs="Arial"/>
          <w:spacing w:val="-1"/>
          <w:kern w:val="0"/>
          <w:sz w:val="21"/>
          <w:szCs w:val="21"/>
          <w:lang w:eastAsia="ar-SA"/>
          <w14:ligatures w14:val="none"/>
        </w:rPr>
      </w:pPr>
      <w:r w:rsidRPr="00014A51">
        <w:rPr>
          <w:rFonts w:ascii="Century Gothic" w:eastAsia="Times New Roman" w:hAnsi="Century Gothic" w:cs="Arial"/>
          <w:kern w:val="0"/>
          <w:sz w:val="21"/>
          <w:szCs w:val="21"/>
          <w:shd w:val="clear" w:color="auto" w:fill="FFFFFF"/>
          <w14:ligatures w14:val="none"/>
        </w:rPr>
        <w:t xml:space="preserve">W karcie informacyjnej przedsięwzięcia wskazano, że funkcjonowanie farmy fotowoltaicznej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nie wymaga budowy zaplecza socjalnego, ani infrastruktury wodno-kanalizacyjnej. Mycie paneli fotowoltaicznych na etapie eksploatacji przeprowadzane będzie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shd w:val="clear" w:color="auto" w:fill="FFFFFF"/>
          <w14:ligatures w14:val="none"/>
        </w:rPr>
        <w:t xml:space="preserve">przy użyciu czystej wody bez dodatków detergentów. 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>Wody opadowe i roztopowe nie będą ujmowane w systemy kanalizacyjne, będą infiltrować w grunt.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 Dodatkowo wnioskodawca planuje korzystać z przenośnych toalet, które wyposażone będą w szczelne, bezodpływowe zbiorniki na ścieki bytowe obsługiwane przez wyspecjalizowane zewnętrzne podmioty.</w:t>
      </w:r>
    </w:p>
    <w:p w14:paraId="3A356011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Calibri" w:hAnsi="Century Gothic" w:cs="Arial"/>
          <w:spacing w:val="-1"/>
          <w:kern w:val="0"/>
          <w:sz w:val="21"/>
          <w:szCs w:val="21"/>
          <w:lang w:eastAsia="ar-SA"/>
          <w14:ligatures w14:val="none"/>
        </w:rPr>
      </w:pPr>
      <w:r w:rsidRPr="00014A51">
        <w:rPr>
          <w:rFonts w:ascii="Century Gothic" w:eastAsia="Calibri" w:hAnsi="Century Gothic" w:cs="Arial"/>
          <w:spacing w:val="-1"/>
          <w:kern w:val="0"/>
          <w:sz w:val="21"/>
          <w:szCs w:val="21"/>
          <w:lang w:eastAsia="ar-SA"/>
          <w14:ligatures w14:val="none"/>
        </w:rPr>
        <w:t>Realizacja przedsięwzięcia będzie wiązała się z zastosowaniem typowych dla tego rodzaju przedsięwzięć materiałów i surowców budowlanych, miedzy innymi takich jak: beton i stal. Na potrzeby realizacji przedsięwzięcia niezbędne będzie także zużycie paliwa, energii elektrycznej oraz wody.</w:t>
      </w:r>
    </w:p>
    <w:p w14:paraId="2CB345DE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Gospodarowanie odpadami na etapie realizacji, eksploatacji i likwidacji przedmiotowego przedsięwzięcia powinno odbywać się na zasadach określonych w aktualnie obowiązujących przepisach szczegółowych. Na etapie prac wykonawczych źródłem powstawania odpadów będą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:shd w:val="clear" w:color="auto" w:fill="FFFFFF"/>
          <w14:ligatures w14:val="none"/>
        </w:rPr>
        <w:t>prace budowlane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.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:shd w:val="clear" w:color="auto" w:fill="FFFFFF"/>
          <w14:ligatures w14:val="none"/>
        </w:rPr>
        <w:t xml:space="preserve">Powstaną wówczas głównie odpady opakowaniowe, żelazo i stal oraz odpady z budowy, które będą zbierane selektywnie do odpowiednich pojemników lub kontenerów, a następnie przekazywane do dalszego zagospodarowania. W trakcie eksploatacji wytwarzane będą jedynie odpady związane z pracami konserwatorskimi urządzeń technicznych. W przypadku awarii mogą powstać odpady niebezpieczne. </w:t>
      </w:r>
      <w:r w:rsidRPr="00014A51">
        <w:rPr>
          <w:rFonts w:ascii="Century Gothic" w:eastAsia="Times New Roman" w:hAnsi="Century Gothic" w:cs="Times New Roman"/>
          <w:kern w:val="0"/>
          <w14:ligatures w14:val="none"/>
        </w:rPr>
        <w:t>Odpady niebezpieczne stanowiące głównie sorbenty, filtry olejowe, zużyte urządzenia zawierające niebezpieczne elementy oraz transformatory nie będą magazynowane na terenie przedsięwzięcia. Bezpośrednio po ich wytworzeniu będą przekazywane uprawnionym podmiotom w celu ich zagospodarowania. Odpady powstałe na etapie likwidacji będą magazynowane w specjalnych pojemnikach i kontenerach,  odpowiednio zabezpieczone, a następnie przekazane podmiotom uprawnionym do dalszego ich zagospodarowania. Mając na uwadze powyższe nie przewiduje się negatywnego wpływu planowanego przedsięwzięcia na środowisko gruntowo-wodne w rejonie zainwestowania.</w:t>
      </w:r>
    </w:p>
    <w:p w14:paraId="748C1961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>2. usytuowanie przedsięwzięcia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2 ustawy </w:t>
      </w:r>
      <w:proofErr w:type="spellStart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– planowane przedsięwzięcie usytuowane będzie na nieruchomościach oznaczonych geodezyjnie jako działki nr 101/1 i 101/5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,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położone w miejscowości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Obora, Gmina Gniezno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. </w:t>
      </w:r>
    </w:p>
    <w:p w14:paraId="3DB6A63C" w14:textId="77777777" w:rsidR="00014A51" w:rsidRPr="00014A51" w:rsidRDefault="00014A51" w:rsidP="00014A51">
      <w:pPr>
        <w:spacing w:after="0" w:line="276" w:lineRule="auto"/>
        <w:ind w:left="708"/>
        <w:jc w:val="both"/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lastRenderedPageBreak/>
        <w:t xml:space="preserve">Przedsięwzięcie będzie zlokalizowane na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gruntach ornych.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Pomiędzy działkami przebiega droga ekspresowa S5. W otoczeniu przedsięwzięcia znajdują się grunty rolne, zabudowania mieszkalne, a w sąsiedztwie działki o numerze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ewid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. 101/5 znajduje się zbiornik retencyjny (techniczny) na wody opadowe z drogi ekspresowej, a na działce o numerze </w:t>
      </w:r>
      <w:proofErr w:type="spellStart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ewid</w:t>
      </w:r>
      <w:proofErr w:type="spellEnd"/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. 101/1 znajduje się fragment rowu melioracyjnego.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>Najbliższy teren chroniony akustycznie znajduje się na działce sąsiedniej, w kierunku zachodnim od działki nr 101/1 w m. Obora i stanowi teren zabudowy zagrodowej, który znajduje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 się w odległości ok 50 m od planowanego przedsięwzięcia.</w:t>
      </w:r>
    </w:p>
    <w:p w14:paraId="2314195A" w14:textId="77777777" w:rsidR="00014A51" w:rsidRPr="00014A51" w:rsidRDefault="00014A51" w:rsidP="00014A51">
      <w:pPr>
        <w:spacing w:after="0" w:line="276" w:lineRule="auto"/>
        <w:ind w:left="708" w:firstLine="708"/>
        <w:jc w:val="both"/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Teren przedsięwzięcia nie jest zlokalizowany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w pobliżu obszarów wodno-błotnych. Przedmiotowe przedsięwzięcie nie znajduje się na terenie obszarów objętych ochroną, w tym stref ochronnych ujęć wód. Nie znajduje się również w granicy obszarów wybrzeży i środowiska morskiego, obszarów górskich. Przedsięwzięcie nie będzie zlokalizowane także na obszarach uzdrowiskowych i ochrony uzdrowiskowej oraz na obszarach o dużej gęstości zaludnienia. Na podstawie przedłożonych dokumentów nie stwierdzono, aby przedsięwzięcie realizowane było na obszarach, na których standardy jakości środowiska zostały przekroczone, ani nie przewiduje się ich przekroczenia w związku z realizacją i eksploatacją przedmiotowego przedsięwzięcia.</w:t>
      </w:r>
    </w:p>
    <w:p w14:paraId="551D4518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Planowane przedsięwzięcie zlokalizowane jest w granicach jednolitej części wód podziemnych (</w:t>
      </w:r>
      <w:proofErr w:type="spellStart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JCWPd</w:t>
      </w:r>
      <w:proofErr w:type="spellEnd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) o kodzie GW600042, która charakteryzuje się dobrym stanem ilościowym oraz dobrym stanem chemicznym i jest niezagrożona osiągnięciem celów środowiskowych. Dla </w:t>
      </w:r>
      <w:proofErr w:type="spellStart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JCWPd</w:t>
      </w:r>
      <w:proofErr w:type="spellEnd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GW600042 w „Planie gospodarowania wodami na obszarze dorzecza Odry” określono następujące cele środowiskowe: utrzymanie dobrego stanu chemicznego oraz dobrego stanu ilościowego. </w:t>
      </w:r>
    </w:p>
    <w:p w14:paraId="5EF09AC9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Teren planowanej inwestycji znajduje się w granicach jednolitych części wód powierzchniowych (JCWP) o kodzie: RW6000181866539 Mała Wełna do jez. </w:t>
      </w:r>
      <w:proofErr w:type="spellStart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Gorzuchowskiego</w:t>
      </w:r>
      <w:proofErr w:type="spellEnd"/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i posiada status naturalnej części wód, jej stan jest zły i zgodnie z oceną ryzyka nieosiągnięcia celu środowiskowego została określona jako zagrożona. Celem środowiskowym dla tej JCWP jest uzyskanie umiarkowanego stanu ekologicznego i dobrego stanu chemicznego.  </w:t>
      </w:r>
    </w:p>
    <w:p w14:paraId="4F6EEE88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Przedsięwzięcie nie będzie negatywnie wpływać na jednolite części wód i nie będzie także stwarzać zagrożenia dla realizacji celów środowiskowych, o których mowa w art. 56, art. 57, art. 59 i art. 61 ustawy z dnia 20 lipca 2017 r. — Prawo wodne, a określonych dla tych części wód w „Planie gospodarowania wodami na obszarze dorzecza Odry”, przyjętym rozporządzeniem Ministra Infrastruktury z dnia 16 listopada 2016 r. (Dz.U. z 2023 r., poz. 335).</w:t>
      </w:r>
    </w:p>
    <w:p w14:paraId="6DC1A541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Obszar przeznaczony pod planowaną farmę fotowoltaiczną zlokalizowany jest poza obszarami chronionymi na podstawie ustawy z 16 kwietnia 2004 r.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br/>
        <w:t xml:space="preserve">o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ochronie przyrody /Dz. U. z 2023 r. poz. 1336 ze zm./. </w:t>
      </w:r>
      <w:r w:rsidRPr="00014A51">
        <w:rPr>
          <w:rFonts w:ascii="Century Gothic" w:eastAsia="Calibri" w:hAnsi="Century Gothic" w:cs="Times New Roman"/>
          <w:bCs/>
          <w:kern w:val="0"/>
          <w:sz w:val="21"/>
          <w:szCs w:val="21"/>
          <w14:ligatures w14:val="none"/>
        </w:rPr>
        <w:t xml:space="preserve">Najbliższym obszarem Natura 2000 jest specjalny obszar ochrony siedlisk Pojezierze Gnieźnieńskie PLH300026 oddalony od terenu przedsięwzięcia o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10,7 km i specjalny obszar ochrony siedlisk Grądy w Czerniejewie PLH300049, oddalony o 10,9 km od przedsięwzięcia. Realizacja przedsięwzięcia nie będzie związana z wycinką drzew i krzewów. </w:t>
      </w:r>
    </w:p>
    <w:p w14:paraId="38EDA440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>Na etapie eksploatacji przedsięwzięcia powierzchnia elektrowni pozostawiona zostanie do naturalnej sukcesji lub zostanie obsiana roślinnością trawiastą. Roślinność pokrywająca obszar zainwestowania będzie wykaszana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. </w:t>
      </w:r>
      <w:r w:rsidRPr="00014A51">
        <w:rPr>
          <w:rFonts w:ascii="Century Gothic" w:eastAsia="Times New Roman" w:hAnsi="Century Gothic" w:cs="Arial"/>
          <w:bCs/>
          <w:kern w:val="0"/>
          <w:sz w:val="21"/>
          <w:szCs w:val="21"/>
          <w14:ligatures w14:val="none"/>
        </w:rPr>
        <w:lastRenderedPageBreak/>
        <w:t>W celu ochrony ptaków lęgowych oraz w związku z obecnością zbiorników wodnych i rowów melioracyjnych nałożono w decyzji warunek koszenia terenu elektrowni na etapie eksploatacji przedsięwzięcia poza okresem lęgowym ptaków, który dla większości gatunków ptaków krajobrazu rolniczego przypada przeciętnie od 1 marca do 31 lipca oraz poza okresem migracji płazów. Wiosenny okres migracji dla większości gatunków płazów w Polsce przypada przeciętnie od 15 lutego do końca maja, natomiast jesienny okres migracji przypada przeciętnie od 15 sierpnia do końca października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. </w:t>
      </w:r>
    </w:p>
    <w:p w14:paraId="0FC30BFC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 niniejszej decyzji wskazano ponadto warunek montażu paneli słonecznych na wysokości co najmniej 0,8 m nad ziemią co pozwoli na rozwój roślinności i w konsekwencji, umożliwi ptakom wyprowadzenie lęgów, roślinom zawiązywanie nasion, a także pozwoli ograniczyć zacienienie paneli słonecznych przez roślinność. </w:t>
      </w:r>
      <w:r w:rsidRPr="00014A51">
        <w:rPr>
          <w:rFonts w:ascii="Century Gothic" w:eastAsia="Times New Roman" w:hAnsi="Century Gothic" w:cs="Arial"/>
          <w:kern w:val="0"/>
          <w:sz w:val="21"/>
          <w:szCs w:val="21"/>
          <w14:ligatures w14:val="none"/>
        </w:rPr>
        <w:t xml:space="preserve">Aby ograniczyć powierzchniowy spływ biogenów oraz substancji chemicznych nałożono warunek rezygnacji ze stosowania nawozów sztucznych i chemicznych środków ochrony roślin. W ramach realizacji inwestycji sieć energetyczna wykonana zostanie jako kablowa podziemna.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 celu ochrony zwierząt na etapie prowadzenia prac ziemnych oraz umożliwienia migracji drobnym zwierzętom na etapie eksploatacji przedsięwzięcia nałożono warunek wykonania ażurowego ogrodzenia bez podmurówki z pozostawieniem minimum 0,2 m przerwy między ogrodzeniem, a gruntem. W celu ochrony zwierząt na etapie prowadzenia prac ziemnych w decyzji nałożono warunek prowadzenia regularnych kontroli wykopów oraz uwalniania uwięzionych w nich zwierząt. </w:t>
      </w:r>
    </w:p>
    <w:p w14:paraId="48AF8921" w14:textId="77777777" w:rsidR="00014A51" w:rsidRPr="00014A51" w:rsidRDefault="00014A51" w:rsidP="00014A51">
      <w:pPr>
        <w:spacing w:after="0" w:line="276" w:lineRule="auto"/>
        <w:ind w:left="720" w:firstLine="696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 niniejszej decyzji, w celu ograniczenia efektu olśnienia wskazano także warunek zastosowania paneli słonecznych o powierzchni antyrefleksyjnej, co ograniczy negatywne oddziaływanie na ludzi i ptaki. 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W celu ograniczenia wpływu przedsięwzięcia na krajobraz stoły montażowe pod panelami i ogrodzenie wykonane zostaną w kolorach szarości lub zieleni. W celu minimalizacji oddziaływania na ludzi i przyrodę ożywioną nałożono w opinii warunek rezygnacji z ciągłego oświetlenia terenu elektrowni i jej ogrodzenia w porze nocnej.</w:t>
      </w:r>
    </w:p>
    <w:p w14:paraId="112C94E0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Mając na względzie lokalizację planowanego przedsięwzięcia poza obszarami chronionymi, na gruntach  rolnych oraz realizację przedsięwzięcia zgodnie z nałożonymi warunkami, nie przewiduje się znaczącego negatywnego oddziaływania inwestycji na środowisko przyrodnicze, w tym na różnorodność biologiczną, rozumianą jako liczebność i kondycję populacji występujących gatunków, w szczególności chronionych, rzadkich lub ginących gatunków roślin, zwierząt i grzybów oraz ich siedlisk. </w:t>
      </w:r>
    </w:p>
    <w:p w14:paraId="76581FB3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Realizacja przedsięwzięcia nie wpłynie także na obszary chronione, a w szczególności na siedliska przyrodnicze, gatunki roślin, grzybów i zwierząt oraz ich siedliska, dla których ochrony zostały wyznaczone obszary Natura 2000, ani pogorszenia integralności obszarów Natura 2000 lub powiązania z innymi obszarami. Ponadto przedsięwzięcie nie spowoduje utraty i fragmentacji siedlisk oraz nie wpłynie na ciągłość korytarzy ekologicznych i funkcję ekosystemu.</w:t>
      </w:r>
    </w:p>
    <w:p w14:paraId="2DC51D6D" w14:textId="77777777" w:rsidR="00014A51" w:rsidRPr="00014A51" w:rsidRDefault="00014A51" w:rsidP="00014A51">
      <w:pPr>
        <w:spacing w:after="0" w:line="276" w:lineRule="auto"/>
        <w:ind w:left="720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b/>
          <w:i/>
          <w:kern w:val="0"/>
          <w:sz w:val="21"/>
          <w:szCs w:val="21"/>
          <w:lang w:eastAsia="pl-PL"/>
          <w14:ligatures w14:val="none"/>
        </w:rPr>
        <w:t>3. rodzaj i skala możliwego oddziaływania przedsięwzięcia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 </w:t>
      </w:r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 xml:space="preserve">(art. 63 ust. 1 pkt 3 ustawy </w:t>
      </w:r>
      <w:proofErr w:type="spellStart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ooś</w:t>
      </w:r>
      <w:proofErr w:type="spellEnd"/>
      <w:r w:rsidRPr="00014A51">
        <w:rPr>
          <w:rFonts w:ascii="Century Gothic" w:eastAsia="Times New Roman" w:hAnsi="Century Gothic" w:cs="Calibri"/>
          <w:i/>
          <w:kern w:val="0"/>
          <w:sz w:val="21"/>
          <w:szCs w:val="21"/>
          <w:lang w:eastAsia="pl-PL"/>
          <w14:ligatures w14:val="none"/>
        </w:rPr>
        <w:t>)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, które z racji swojego charakteru nie pociąga za sobą zagrożeń,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br/>
        <w:t>a tym bardziej znaczących oddziaływań, ze względu na:</w:t>
      </w:r>
    </w:p>
    <w:p w14:paraId="7E069AC3" w14:textId="77777777" w:rsidR="00014A51" w:rsidRPr="00014A51" w:rsidRDefault="00014A51" w:rsidP="00014A51">
      <w:pPr>
        <w:numPr>
          <w:ilvl w:val="0"/>
          <w:numId w:val="4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zasięg, wielkość i złożoność oddziaływania,  jego  prawdopodobieństwo,  czas  trwania, częstotliwość i odwracalność, możliwości ograniczenia oddziaływania,</w:t>
      </w:r>
    </w:p>
    <w:p w14:paraId="5E6C2592" w14:textId="77777777" w:rsidR="00014A51" w:rsidRPr="00014A51" w:rsidRDefault="00014A51" w:rsidP="00014A51">
      <w:pPr>
        <w:numPr>
          <w:ilvl w:val="0"/>
          <w:numId w:val="4"/>
        </w:num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lastRenderedPageBreak/>
        <w:t xml:space="preserve">brak transgranicznego oddziaływania, </w:t>
      </w:r>
    </w:p>
    <w:p w14:paraId="75EA4041" w14:textId="77777777" w:rsidR="00014A51" w:rsidRPr="00014A51" w:rsidRDefault="00014A51" w:rsidP="00014A51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uznał, że po zrealizowaniu przez Inwestora wszystkich warunków zawartych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br/>
        <w:t>w przedłożonych dokumentach oraz w niniejszej decyzji, planowane przedsięwzięcie będzie zgodne z wymaganiami przepisów o ochronie środowiska. Jednocześnie uwzględniając fakt, że w toku prowadzonego postępowania odstąpiono od obowiązku przeprowadzenia oceny oddziaływania przedsięwzięcia na środowisko, tutejszy organ, zgodnie z art. 84 ww. ustawy stwierdził w niniejszej decyzji brak potrzeby przeprowadzenia oceny oddziaływania przedsięwzięcia na środowisko.</w:t>
      </w:r>
    </w:p>
    <w:p w14:paraId="36B0053C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7. Dla terenu (działki nr 101/1 i 101/5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,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położone w miejscowości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>Obora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), na którym ma być zlokalizowane przedsięwzięcie nie istnieje uchwalony miejscowy plan zagospodarowania przestrzennego. </w:t>
      </w:r>
    </w:p>
    <w:p w14:paraId="19C59FF2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>8. Stosownie do art. 10 ustawy z dnia 14 czerwca 1960 r. Kodeks postępowania administracyjnego /Dz. U. 2023 r., poz. 775 ze zm./, przed wydaniem decyzji umożliwiono stronom wypowiedzenie, co do zebranych dowodów i materiałów oraz zgłoszonych żądań. Z powyższej możliwości strony nie skorzystały.</w:t>
      </w:r>
    </w:p>
    <w:p w14:paraId="4D95D5E3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9. Wójt Gminy Gniezno po przeprowadzeniu analizy dokumentacji, stwierdził, że zebrane materiały są wystarczające do zajęcia stanowiska w przedmiotowej sprawie. Wszelkie zarzuty stron postępowania mogą być formułowane w odwołaniu od decyzji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br/>
        <w:t>o środowiskowych uwarunkowaniach i skierowane do organu właściwego do ich rozpatrzenia.</w:t>
      </w:r>
    </w:p>
    <w:p w14:paraId="083B508B" w14:textId="77777777" w:rsidR="00014A51" w:rsidRPr="00014A51" w:rsidRDefault="00014A51" w:rsidP="00014A51">
      <w:pPr>
        <w:keepNext/>
        <w:spacing w:after="120" w:line="276" w:lineRule="auto"/>
        <w:jc w:val="center"/>
        <w:outlineLvl w:val="1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Pouczenie</w:t>
      </w:r>
    </w:p>
    <w:p w14:paraId="668D8743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Od niniejszej decyzji przysługuje stronom odwołanie do Samorządowego Kolegium Odwoławczego w Poznaniu za pośrednictwem Wójta Gminy Gniezno w terminie 14 dni od dnia doręczenia niniejszej decyzji.</w:t>
      </w:r>
    </w:p>
    <w:p w14:paraId="5E8AF9F8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color w:val="000000"/>
          <w:kern w:val="0"/>
          <w:sz w:val="20"/>
          <w:szCs w:val="20"/>
          <w:lang w:eastAsia="ar-SA"/>
          <w14:ligatures w14:val="none"/>
        </w:rPr>
        <w:t>Przed upływem terminu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ar-SA"/>
          <w14:ligatures w14:val="none"/>
        </w:rPr>
        <w:t xml:space="preserve"> do wniesienia odwołania strona może zrzec się prawa do wniesienia odwołania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 xml:space="preserve">wobec organu administracji publicznej, który wydał decyzję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ar-SA"/>
          <w14:ligatures w14:val="none"/>
        </w:rPr>
        <w:t xml:space="preserve">- art. 127 a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§ 1 k.p.a.</w:t>
      </w:r>
    </w:p>
    <w:p w14:paraId="14A476C3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046CDE40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 xml:space="preserve">W przypadku wymienionym w pkt. 2 i 3 odwołanie służyć nie będzie i decyzja stanie się ostateczna i prawomocna z dniem doręczenia organowi oświadczenia o zrzeczeniu się prawa do odwołania - 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ar-SA"/>
          <w14:ligatures w14:val="none"/>
        </w:rPr>
        <w:t xml:space="preserve">art. 107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§ 1 pkt. 7 k.p.a.</w:t>
      </w:r>
    </w:p>
    <w:p w14:paraId="5F96F4B2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 xml:space="preserve">Decyzja podlega wykonaniu przed upływem terminu do wniesienia odwołania, jeżeli jest zgodna z żądaniem wszystkich stron lub jeżeli wszystkie strony zrzekły się prawa do wniesienia odwołania. - 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ar-SA"/>
          <w14:ligatures w14:val="none"/>
        </w:rPr>
        <w:t xml:space="preserve">art. 130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§ 4 k.p.a.</w:t>
      </w:r>
    </w:p>
    <w:p w14:paraId="3D363A63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Decyzję o środowiskowych uwarunkowaniach dołącza się do wniosku o wydanie decyzji, o której mowa w art. 72 ust. 1 oraz zgłoszenia</w:t>
      </w:r>
      <w:r w:rsidRPr="00014A51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, o którym mowa w ust. 1a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 ustawy z dnia 3 października 2008 roku o udostępnianiu informacji o środowisku i jego ochronie, udziale społeczeństwa w ochronie środowiska oraz o ocenach oddziaływania na środowisko; </w:t>
      </w:r>
    </w:p>
    <w:p w14:paraId="646ACD1E" w14:textId="77777777" w:rsidR="00014A51" w:rsidRPr="00014A51" w:rsidRDefault="00014A51" w:rsidP="00014A51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Za niniejszą decyzję administracyjną pobrano opłatę skarbową w wysokości 205 zł zgodnie z częścią I, pkt. 45  załącznika do ustawy z dnia 16 listopada 2006 r. o opłacie skarbowej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/Dz. U. z 2023 r. poz. 2111/</w:t>
      </w:r>
    </w:p>
    <w:p w14:paraId="704BD9FA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</w:pPr>
    </w:p>
    <w:p w14:paraId="28F6431C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</w:pPr>
    </w:p>
    <w:p w14:paraId="0A79433F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Załącznik:</w:t>
      </w:r>
    </w:p>
    <w:p w14:paraId="69157298" w14:textId="77777777" w:rsidR="00014A51" w:rsidRPr="00014A51" w:rsidRDefault="00014A51" w:rsidP="00014A51">
      <w:pPr>
        <w:numPr>
          <w:ilvl w:val="0"/>
          <w:numId w:val="6"/>
        </w:numPr>
        <w:spacing w:after="0" w:line="276" w:lineRule="auto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  <w:t>Charakterystyka przedsięwzięcia</w:t>
      </w:r>
    </w:p>
    <w:p w14:paraId="76DA1F96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u w:val="single"/>
          <w14:ligatures w14:val="none"/>
        </w:rPr>
      </w:pPr>
    </w:p>
    <w:p w14:paraId="28FAACB0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lastRenderedPageBreak/>
        <w:t>Otrzymują:</w:t>
      </w:r>
    </w:p>
    <w:p w14:paraId="33BFA4B2" w14:textId="77777777" w:rsidR="00014A51" w:rsidRPr="00014A51" w:rsidRDefault="00014A51" w:rsidP="00014A5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  <w:t xml:space="preserve">Strony postępowania administracyjnego wg rozdzielnika </w:t>
      </w:r>
    </w:p>
    <w:p w14:paraId="5A1E0273" w14:textId="77777777" w:rsidR="00014A51" w:rsidRPr="00014A51" w:rsidRDefault="00014A51" w:rsidP="00014A51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  <w:t>a/a (sprawę prowadzi Rafał Skweres – tel. 61 424 57 66)</w:t>
      </w:r>
    </w:p>
    <w:p w14:paraId="4C50E20C" w14:textId="77777777" w:rsidR="00014A51" w:rsidRPr="00014A51" w:rsidRDefault="00014A51" w:rsidP="00014A51">
      <w:pPr>
        <w:shd w:val="clear" w:color="auto" w:fill="FFFFFF"/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u w:val="single"/>
          <w14:ligatures w14:val="none"/>
        </w:rPr>
      </w:pPr>
    </w:p>
    <w:p w14:paraId="55FCD241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Do wiadomości:</w:t>
      </w:r>
    </w:p>
    <w:p w14:paraId="5F1AF708" w14:textId="77777777" w:rsidR="00014A51" w:rsidRPr="00014A51" w:rsidRDefault="00014A51" w:rsidP="00014A51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Regionalny Dyrektor Ochrony Środowiska w Poznaniu, ul. J. H. Dąbrowskiego 79, 60-529 Poznań</w:t>
      </w:r>
    </w:p>
    <w:p w14:paraId="2883CB92" w14:textId="77777777" w:rsidR="00014A51" w:rsidRPr="00014A51" w:rsidRDefault="00014A51" w:rsidP="00014A51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Państwowy Powiatowy Inspektor Sanitarny w Gnieźnie, ul. Św. Wawrzyńca 18, 62-200 Gniezno</w:t>
      </w:r>
    </w:p>
    <w:p w14:paraId="63255576" w14:textId="77777777" w:rsidR="00014A51" w:rsidRPr="00014A51" w:rsidRDefault="00014A51" w:rsidP="00014A51">
      <w:pPr>
        <w:numPr>
          <w:ilvl w:val="0"/>
          <w:numId w:val="8"/>
        </w:num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8"/>
          <w:szCs w:val="18"/>
          <w:lang w:eastAsia="pl-PL"/>
          <w14:ligatures w14:val="none"/>
        </w:rPr>
        <w:t>Dyrektor Zarządu Zlewni Wód Polskich w Poznaniu, ul. Szewska 1, 61-760 Poznań</w:t>
      </w:r>
    </w:p>
    <w:p w14:paraId="2A4C7D44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</w:p>
    <w:p w14:paraId="536E54AC" w14:textId="77777777" w:rsidR="00014A51" w:rsidRPr="00014A51" w:rsidRDefault="00014A51" w:rsidP="00014A51">
      <w:pPr>
        <w:spacing w:after="120" w:line="276" w:lineRule="auto"/>
        <w:ind w:left="283"/>
        <w:jc w:val="both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kern w:val="0"/>
          <w:sz w:val="16"/>
          <w:szCs w:val="16"/>
          <w:u w:val="single"/>
          <w:lang w:eastAsia="pl-PL"/>
          <w14:ligatures w14:val="none"/>
        </w:rPr>
        <w:t>Uwaga</w:t>
      </w:r>
      <w:r w:rsidRPr="00014A51">
        <w:rPr>
          <w:rFonts w:ascii="Century Gothic" w:eastAsia="Times New Roman" w:hAnsi="Century Gothic" w:cs="Times New Roman"/>
          <w:b/>
          <w:kern w:val="0"/>
          <w:sz w:val="16"/>
          <w:szCs w:val="16"/>
          <w:lang w:eastAsia="pl-PL"/>
          <w14:ligatures w14:val="none"/>
        </w:rPr>
        <w:t>:</w:t>
      </w:r>
    </w:p>
    <w:p w14:paraId="4AB32273" w14:textId="77777777" w:rsidR="00014A51" w:rsidRPr="00014A51" w:rsidRDefault="00014A51" w:rsidP="00014A51">
      <w:pPr>
        <w:spacing w:after="120" w:line="276" w:lineRule="auto"/>
        <w:jc w:val="both"/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16"/>
          <w:szCs w:val="16"/>
          <w:lang w:eastAsia="pl-PL"/>
          <w14:ligatures w14:val="none"/>
        </w:rPr>
        <w:tab/>
        <w:t xml:space="preserve">Ponieważ w powyższej sprawie liczba stron postępowania przekracza 10, zgodnie z art. 74 ust. 3 ustawy z dnia 3 października 2008 roku o udostępnianiu informacji o środowisku i jego ochronie, udziale społeczeństwa w ochronie środowiska oraz o ocenach oddziaływania na środowisko oraz art. 49 Kodeksu postępowania administracyjnego – zawiadomienie stron o wydanej decyzji zostaje podane w formie obwieszczenia. Doręczenie uważa się za dokonane po upływie czternastu dni od dnia publicznego ogłoszenia. Publiczne udostępnienie następuje z dniem </w:t>
      </w:r>
      <w:r w:rsidRPr="00014A51">
        <w:rPr>
          <w:rFonts w:ascii="Century Gothic" w:eastAsia="Times New Roman" w:hAnsi="Century Gothic" w:cs="Times New Roman"/>
          <w:b/>
          <w:bCs/>
          <w:kern w:val="0"/>
          <w:sz w:val="16"/>
          <w:szCs w:val="16"/>
          <w:lang w:eastAsia="pl-PL"/>
          <w14:ligatures w14:val="none"/>
        </w:rPr>
        <w:t>16 lutego 2024 roku.</w:t>
      </w:r>
    </w:p>
    <w:p w14:paraId="553D790E" w14:textId="77777777" w:rsidR="00014A51" w:rsidRPr="00014A51" w:rsidRDefault="00014A51" w:rsidP="00014A51">
      <w:pPr>
        <w:spacing w:after="0" w:line="48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:u w:val="single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:u w:val="single"/>
          <w14:ligatures w14:val="none"/>
        </w:rPr>
        <w:t xml:space="preserve">Wywieszono na tablicy ogłoszeń ………………………….…………….………………………………… </w:t>
      </w:r>
      <w:r w:rsidRPr="00014A51">
        <w:rPr>
          <w:rFonts w:ascii="Century Gothic" w:eastAsia="Times New Roman" w:hAnsi="Century Gothic" w:cs="Times New Roman"/>
          <w:kern w:val="0"/>
          <w:sz w:val="20"/>
          <w:szCs w:val="20"/>
          <w:u w:val="single"/>
          <w14:ligatures w14:val="none"/>
        </w:rPr>
        <w:br/>
        <w:t>na okres od dnia …………….……………. do dnia  ………..…...……………..</w:t>
      </w:r>
    </w:p>
    <w:p w14:paraId="325A01C7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Podpis i pieczątka</w:t>
      </w:r>
    </w:p>
    <w:p w14:paraId="4202F427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sectPr w:rsidR="00014A51" w:rsidRPr="00014A51" w:rsidSect="00C705E3">
          <w:pgSz w:w="11906" w:h="16838"/>
          <w:pgMar w:top="1134" w:right="1417" w:bottom="1417" w:left="1417" w:header="708" w:footer="708" w:gutter="0"/>
          <w:cols w:space="708"/>
        </w:sectPr>
      </w:pPr>
    </w:p>
    <w:p w14:paraId="065D533D" w14:textId="77777777" w:rsidR="00014A51" w:rsidRPr="00014A51" w:rsidRDefault="00014A51" w:rsidP="00014A51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lastRenderedPageBreak/>
        <w:t xml:space="preserve">Załącznik do decyzji o środowiskowych uwarunkowaniach </w:t>
      </w:r>
      <w:r w:rsidRPr="00014A51">
        <w:rPr>
          <w:rFonts w:ascii="Century Gothic" w:eastAsia="Times New Roman" w:hAnsi="Century Gothic" w:cs="Times New Roman"/>
          <w:b/>
          <w:kern w:val="0"/>
          <w:sz w:val="21"/>
          <w:szCs w:val="21"/>
          <w:lang w:eastAsia="pl-PL"/>
          <w14:ligatures w14:val="none"/>
        </w:rPr>
        <w:br/>
        <w:t>znak OŚR.6220.6.2023 z dnia 15 lutego 2024 roku</w:t>
      </w:r>
    </w:p>
    <w:p w14:paraId="454F012F" w14:textId="77777777" w:rsidR="00014A51" w:rsidRPr="00014A51" w:rsidRDefault="00014A51" w:rsidP="00014A51">
      <w:pPr>
        <w:spacing w:after="0" w:line="276" w:lineRule="auto"/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</w:pPr>
    </w:p>
    <w:p w14:paraId="02ED407E" w14:textId="77777777" w:rsidR="00014A51" w:rsidRPr="00014A51" w:rsidRDefault="00014A51" w:rsidP="00014A51">
      <w:pPr>
        <w:keepNext/>
        <w:spacing w:after="120" w:line="276" w:lineRule="auto"/>
        <w:jc w:val="center"/>
        <w:outlineLvl w:val="0"/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/>
          <w:bCs/>
          <w:kern w:val="0"/>
          <w:sz w:val="21"/>
          <w:szCs w:val="21"/>
          <w:lang w:eastAsia="pl-PL"/>
          <w14:ligatures w14:val="none"/>
        </w:rPr>
        <w:t>Charakterystyka przedsięwzięcia</w:t>
      </w:r>
    </w:p>
    <w:p w14:paraId="62CFE223" w14:textId="77777777" w:rsidR="00014A51" w:rsidRPr="00014A51" w:rsidRDefault="00014A51" w:rsidP="00014A51">
      <w:pPr>
        <w:spacing w:after="0" w:line="276" w:lineRule="auto"/>
        <w:ind w:firstLine="708"/>
        <w:jc w:val="both"/>
        <w:rPr>
          <w:rFonts w:ascii="Century Gothic" w:eastAsia="Times New Roman" w:hAnsi="Century Gothic" w:cs="Arial"/>
          <w:spacing w:val="-4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Planowane przedsięwzięcie polegać będzie na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>budowie do 24 farm fotowoltaicznych o łącznej mocy do 24 MW wraz z niezbędną infrastrukturą techniczną w miejscowości Obora, Gmina Gniezno, działki nr 101/1 i 101/5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, na łącznej powierzchni do 13,32 ha. </w:t>
      </w:r>
    </w:p>
    <w:p w14:paraId="5C2333AE" w14:textId="77777777" w:rsidR="00014A51" w:rsidRPr="00014A51" w:rsidRDefault="00014A51" w:rsidP="00014A51">
      <w:pPr>
        <w:spacing w:after="0" w:line="276" w:lineRule="auto"/>
        <w:ind w:firstLine="708"/>
        <w:jc w:val="both"/>
        <w:rPr>
          <w:rFonts w:ascii="Century Gothic" w:eastAsia="Times New Roman" w:hAnsi="Century Gothic" w:cs="Arial"/>
          <w:spacing w:val="-4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Przewiduje się użycie na farmie fotowoltaicznej do 4500 sztuk paneli fotowoltaicznych na 1 MW zainstalowanej mocy (w zależności od mocy użytych paneli). Łączna liczba paneli wyniesie do 108000 sztuk. Całkowita wysokość instalacji wyniesie do 5 m, a odległość między rzędami do 10 m. Ponadto farma fotowoltaiczna składać się będzie z następujących elementów:  </w:t>
      </w:r>
    </w:p>
    <w:p w14:paraId="4D827852" w14:textId="77777777" w:rsidR="00014A51" w:rsidRPr="00014A51" w:rsidRDefault="00014A51" w:rsidP="00014A51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</w:pPr>
      <w:bookmarkStart w:id="2" w:name="_Hlk152572712"/>
      <w:r w:rsidRPr="00014A51"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  <w:t xml:space="preserve">- do 24 sztuk stacji transformatorowych, </w:t>
      </w:r>
    </w:p>
    <w:p w14:paraId="214EC106" w14:textId="77777777" w:rsidR="00014A51" w:rsidRPr="00014A51" w:rsidRDefault="00014A51" w:rsidP="00014A51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</w:pPr>
      <w:r w:rsidRPr="00014A51"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  <w:t xml:space="preserve">- do 336 sztuk inwerterów, </w:t>
      </w:r>
    </w:p>
    <w:p w14:paraId="654FD7D9" w14:textId="77777777" w:rsidR="00014A51" w:rsidRPr="00014A51" w:rsidRDefault="00014A51" w:rsidP="00014A51">
      <w:pPr>
        <w:spacing w:after="0" w:line="276" w:lineRule="auto"/>
        <w:ind w:firstLine="710"/>
        <w:jc w:val="both"/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</w:pPr>
      <w:r w:rsidRPr="00014A51">
        <w:rPr>
          <w:rFonts w:ascii="Century Gothic" w:eastAsia="Calibri" w:hAnsi="Century Gothic" w:cs="Arial"/>
          <w:kern w:val="0"/>
          <w:sz w:val="21"/>
          <w:szCs w:val="21"/>
          <w:lang w:eastAsia="ar-SA"/>
          <w14:ligatures w14:val="none"/>
        </w:rPr>
        <w:t xml:space="preserve">- do 24 magazynów energii, </w:t>
      </w:r>
    </w:p>
    <w:p w14:paraId="43188369" w14:textId="77777777" w:rsidR="00014A51" w:rsidRPr="00014A51" w:rsidRDefault="00014A51" w:rsidP="00014A5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kern w:val="0"/>
          <w:sz w:val="21"/>
          <w:szCs w:val="21"/>
        </w:rPr>
      </w:pPr>
      <w:r w:rsidRPr="00014A51">
        <w:rPr>
          <w:rFonts w:ascii="Century Gothic" w:hAnsi="Century Gothic" w:cs="Times New Roman"/>
          <w:kern w:val="0"/>
          <w:sz w:val="21"/>
          <w:szCs w:val="21"/>
        </w:rPr>
        <w:t xml:space="preserve">            </w:t>
      </w:r>
      <w:r w:rsidRPr="00014A51">
        <w:rPr>
          <w:rFonts w:ascii="Century Gothic" w:hAnsi="Century Gothic" w:cs="Courier New"/>
          <w:kern w:val="0"/>
          <w:sz w:val="21"/>
          <w:szCs w:val="21"/>
        </w:rPr>
        <w:t xml:space="preserve">- </w:t>
      </w:r>
      <w:r w:rsidRPr="00014A51">
        <w:rPr>
          <w:rFonts w:ascii="Century Gothic" w:hAnsi="Century Gothic" w:cs="Times New Roman"/>
          <w:kern w:val="0"/>
          <w:sz w:val="21"/>
          <w:szCs w:val="21"/>
        </w:rPr>
        <w:t xml:space="preserve">dróg wewnętrznych, </w:t>
      </w:r>
    </w:p>
    <w:p w14:paraId="1E763C59" w14:textId="77777777" w:rsidR="00014A51" w:rsidRPr="00014A51" w:rsidRDefault="00014A51" w:rsidP="00014A5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kern w:val="0"/>
          <w:sz w:val="21"/>
          <w:szCs w:val="21"/>
        </w:rPr>
      </w:pPr>
      <w:r w:rsidRPr="00014A51">
        <w:rPr>
          <w:rFonts w:ascii="Century Gothic" w:hAnsi="Century Gothic" w:cs="Times New Roman"/>
          <w:kern w:val="0"/>
          <w:sz w:val="21"/>
          <w:szCs w:val="21"/>
        </w:rPr>
        <w:tab/>
        <w:t xml:space="preserve">- linii kablowych </w:t>
      </w:r>
      <w:proofErr w:type="spellStart"/>
      <w:r w:rsidRPr="00014A51">
        <w:rPr>
          <w:rFonts w:ascii="Century Gothic" w:hAnsi="Century Gothic" w:cs="Times New Roman"/>
          <w:kern w:val="0"/>
          <w:sz w:val="21"/>
          <w:szCs w:val="21"/>
        </w:rPr>
        <w:t>energetyczno</w:t>
      </w:r>
      <w:proofErr w:type="spellEnd"/>
      <w:r w:rsidRPr="00014A51">
        <w:rPr>
          <w:rFonts w:ascii="Century Gothic" w:hAnsi="Century Gothic" w:cs="Times New Roman"/>
          <w:kern w:val="0"/>
          <w:sz w:val="21"/>
          <w:szCs w:val="21"/>
        </w:rPr>
        <w:t xml:space="preserve"> – światłowodowych, </w:t>
      </w:r>
    </w:p>
    <w:p w14:paraId="38F5D6B5" w14:textId="77777777" w:rsidR="00014A51" w:rsidRPr="00014A51" w:rsidRDefault="00014A51" w:rsidP="00014A5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kern w:val="0"/>
          <w:sz w:val="21"/>
          <w:szCs w:val="21"/>
        </w:rPr>
      </w:pPr>
      <w:r w:rsidRPr="00014A51">
        <w:rPr>
          <w:rFonts w:ascii="Century Gothic" w:hAnsi="Century Gothic" w:cs="Courier New"/>
          <w:kern w:val="0"/>
          <w:sz w:val="21"/>
          <w:szCs w:val="21"/>
        </w:rPr>
        <w:t xml:space="preserve">            </w:t>
      </w:r>
      <w:r w:rsidRPr="00014A51">
        <w:rPr>
          <w:rFonts w:ascii="Century Gothic" w:hAnsi="Century Gothic" w:cs="Arial"/>
          <w:kern w:val="0"/>
          <w:sz w:val="21"/>
          <w:szCs w:val="21"/>
        </w:rPr>
        <w:t>-</w:t>
      </w:r>
      <w:r w:rsidRPr="00014A51">
        <w:rPr>
          <w:rFonts w:ascii="Century Gothic" w:hAnsi="Century Gothic" w:cs="Courier New"/>
          <w:kern w:val="0"/>
          <w:sz w:val="21"/>
          <w:szCs w:val="21"/>
        </w:rPr>
        <w:t xml:space="preserve"> </w:t>
      </w:r>
      <w:r w:rsidRPr="00014A51">
        <w:rPr>
          <w:rFonts w:ascii="Century Gothic" w:hAnsi="Century Gothic" w:cs="Times New Roman"/>
          <w:kern w:val="0"/>
          <w:sz w:val="21"/>
          <w:szCs w:val="21"/>
        </w:rPr>
        <w:t>przyłącza elektroenergetycznego,</w:t>
      </w:r>
    </w:p>
    <w:p w14:paraId="4A3AB652" w14:textId="77777777" w:rsidR="00014A51" w:rsidRPr="00014A51" w:rsidRDefault="00014A51" w:rsidP="00014A5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kern w:val="0"/>
          <w:sz w:val="21"/>
          <w:szCs w:val="21"/>
        </w:rPr>
      </w:pPr>
      <w:r w:rsidRPr="00014A51">
        <w:rPr>
          <w:rFonts w:ascii="Century Gothic" w:hAnsi="Century Gothic" w:cs="Times New Roman"/>
          <w:kern w:val="0"/>
          <w:sz w:val="21"/>
          <w:szCs w:val="21"/>
        </w:rPr>
        <w:tab/>
        <w:t xml:space="preserve">- ogrodzenia, </w:t>
      </w:r>
    </w:p>
    <w:p w14:paraId="49713617" w14:textId="77777777" w:rsidR="00014A51" w:rsidRPr="00014A51" w:rsidRDefault="00014A51" w:rsidP="00014A5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kern w:val="0"/>
          <w:sz w:val="21"/>
          <w:szCs w:val="21"/>
        </w:rPr>
      </w:pPr>
      <w:r w:rsidRPr="00014A51">
        <w:rPr>
          <w:rFonts w:ascii="Century Gothic" w:hAnsi="Century Gothic" w:cs="Courier New"/>
          <w:kern w:val="0"/>
          <w:sz w:val="21"/>
          <w:szCs w:val="21"/>
        </w:rPr>
        <w:t xml:space="preserve">            </w:t>
      </w:r>
      <w:r w:rsidRPr="00014A51">
        <w:rPr>
          <w:rFonts w:ascii="Century Gothic" w:hAnsi="Century Gothic" w:cs="Arial"/>
          <w:kern w:val="0"/>
          <w:sz w:val="21"/>
          <w:szCs w:val="21"/>
        </w:rPr>
        <w:t xml:space="preserve">- </w:t>
      </w:r>
      <w:r w:rsidRPr="00014A51">
        <w:rPr>
          <w:rFonts w:ascii="Century Gothic" w:hAnsi="Century Gothic" w:cs="Times New Roman"/>
          <w:kern w:val="0"/>
          <w:sz w:val="21"/>
          <w:szCs w:val="21"/>
        </w:rPr>
        <w:t xml:space="preserve">innych niezbędnych elementów infrastruktury związanych z budową i eksploatacją parku ogniw (czujniki alarmowe, kamery). </w:t>
      </w:r>
    </w:p>
    <w:bookmarkEnd w:id="2"/>
    <w:p w14:paraId="1734E314" w14:textId="77777777" w:rsidR="00014A51" w:rsidRPr="00014A51" w:rsidRDefault="00014A51" w:rsidP="00014A51">
      <w:pPr>
        <w:spacing w:after="0" w:line="276" w:lineRule="auto"/>
        <w:ind w:firstLine="710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>Podczas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 xml:space="preserve"> realizacji planowanej inwestycji, dopuszcza się jej etapowanie. W przypadku przedmiotowej inwestycji możliwa jest jej realizacja w maksymalnie 24 etapach. Przy czym zaznacza się, iż każdy etap może mieć różną moc. Sumaryczna moc zrealizowanych części nie przekroczy 24 MW</w:t>
      </w:r>
    </w:p>
    <w:p w14:paraId="62F83E1F" w14:textId="77777777" w:rsidR="00014A51" w:rsidRPr="00014A51" w:rsidRDefault="00014A51" w:rsidP="00014A51">
      <w:pPr>
        <w:spacing w:after="0" w:line="276" w:lineRule="auto"/>
        <w:jc w:val="both"/>
        <w:rPr>
          <w:rFonts w:ascii="Century Gothic" w:eastAsia="Arial Narrow" w:hAnsi="Century Gothic" w:cs="Arial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W przypadku zamontowania transformatora olejowego, zostanie on wyposażony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br/>
        <w:t xml:space="preserve">w szczelną misę, mogącą zmagazynować całą objętość oleju oraz pozostałości po ewentualnej akcji gaśniczej. </w:t>
      </w:r>
    </w:p>
    <w:p w14:paraId="68740C84" w14:textId="77777777" w:rsidR="00014A51" w:rsidRPr="00014A51" w:rsidRDefault="00014A51" w:rsidP="00014A5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Instalacja będzie bezobsługowa. Nie wymaga budowy zaplecza socjalnego, ani infrastruktury wodno-kanalizacyjnej. Mycie paneli fotowoltaicznych na etapie eksploatacji przeprowadzane będzie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shd w:val="clear" w:color="auto" w:fill="FFFFFF"/>
          <w14:ligatures w14:val="none"/>
        </w:rPr>
        <w:t xml:space="preserve">przy użyciu czystej wody bez dodatków detergentów. 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14:ligatures w14:val="none"/>
        </w:rPr>
        <w:t>Wody opadowe i roztopowe nie będą ujmowane w systemy kanalizacyjne, będą infiltrować w grunt.</w:t>
      </w:r>
      <w:r w:rsidRPr="00014A51"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  <w:t xml:space="preserve"> Gospodarowanie odpadami na etapie realizacji, eksploatacji i likwidacji przedmiotowego przedsięwzięcia odbywać się będzie na zasadach określonych w obowiązujących przepisach szczegółowych. Dodatkowo wnioskodawca planuje korzystać z przenośnych toalet, które wyposażone są w szczelne, bezodpływowe zbiorniki na ścieki bytowe obsługiwane przez wyspecjalizowane zewnętrzne podmioty. </w:t>
      </w:r>
    </w:p>
    <w:p w14:paraId="47111B50" w14:textId="77777777" w:rsidR="00014A51" w:rsidRPr="00014A51" w:rsidRDefault="00014A51" w:rsidP="00014A51">
      <w:pPr>
        <w:spacing w:after="0" w:line="276" w:lineRule="auto"/>
        <w:ind w:firstLine="708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  <w:r w:rsidRPr="00014A51">
        <w:rPr>
          <w:rFonts w:ascii="Century Gothic" w:eastAsia="Times New Roman" w:hAnsi="Century Gothic" w:cs="Calibri"/>
          <w:kern w:val="0"/>
          <w:sz w:val="21"/>
          <w:szCs w:val="21"/>
          <w14:ligatures w14:val="none"/>
        </w:rPr>
        <w:t xml:space="preserve">Teren farmy zostanie ogrodzony i zostanie na nim zainstalowany system alarmowy.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Wykonane zostanie ażurowe ogrodzenie bez podmurówki z pozostawieniem min. 20 cm przerwy między ogrodzeniem, a gruntem, która umożliwi migrację drobnym zwierzętom. </w:t>
      </w:r>
    </w:p>
    <w:p w14:paraId="7651B376" w14:textId="77777777" w:rsidR="00014A51" w:rsidRPr="00014A51" w:rsidRDefault="00014A51" w:rsidP="00014A51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</w:pP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Przedmiotowe przedsięwzięcie będzie zlokalizowane na gruntach ornych. </w:t>
      </w:r>
      <w:r w:rsidRPr="00014A51"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  <w:t xml:space="preserve">Obszar przeznaczony pod planowaną farmę fotowoltaiczną zlokalizowany jest poza obszarami chronionymi na podstawie ustawy z 16 kwietnia 2004 r. o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:lang w:eastAsia="pl-PL"/>
          <w14:ligatures w14:val="none"/>
        </w:rPr>
        <w:t xml:space="preserve">ochronie przyrody /Dz. U. z 2023 r. poz. 1336 ze zm./. </w:t>
      </w:r>
      <w:r w:rsidRPr="00014A51">
        <w:rPr>
          <w:rFonts w:ascii="Century Gothic" w:eastAsia="Calibri" w:hAnsi="Century Gothic" w:cs="Times New Roman"/>
          <w:bCs/>
          <w:kern w:val="0"/>
          <w:sz w:val="21"/>
          <w:szCs w:val="21"/>
          <w14:ligatures w14:val="none"/>
        </w:rPr>
        <w:t xml:space="preserve">Najbliższym obszarem Natura 2000 jest specjalny obszar ochrony siedlisk Pojezierze Gnieźnieńskie PLH300026 oddalony od terenu przedsięwzięcia o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t xml:space="preserve">10,7 km i specjalny obszar ochrony siedlisk Grądy w Czerniejewie PLH300049, oddalony o 10,9 km </w:t>
      </w:r>
      <w:r w:rsidRPr="00014A51">
        <w:rPr>
          <w:rFonts w:ascii="Century Gothic" w:eastAsia="Times New Roman" w:hAnsi="Century Gothic" w:cs="Times New Roman"/>
          <w:kern w:val="0"/>
          <w:sz w:val="21"/>
          <w:szCs w:val="21"/>
          <w14:ligatures w14:val="none"/>
        </w:rPr>
        <w:lastRenderedPageBreak/>
        <w:t xml:space="preserve">od przedsięwzięcia. Realizacja przedsięwzięcia nie będzie związana z wycinką drzew i krzewów. </w:t>
      </w:r>
    </w:p>
    <w:p w14:paraId="375EA92F" w14:textId="77777777" w:rsidR="00014A51" w:rsidRPr="00014A51" w:rsidRDefault="00014A51" w:rsidP="00014A51">
      <w:pPr>
        <w:spacing w:after="0" w:line="276" w:lineRule="auto"/>
        <w:ind w:firstLine="709"/>
        <w:jc w:val="both"/>
        <w:rPr>
          <w:rFonts w:ascii="Century Gothic" w:eastAsia="Times New Roman" w:hAnsi="Century Gothic" w:cs="Calibri"/>
          <w:kern w:val="0"/>
          <w:sz w:val="21"/>
          <w:szCs w:val="21"/>
          <w:lang w:eastAsia="pl-PL"/>
          <w14:ligatures w14:val="none"/>
        </w:rPr>
      </w:pPr>
    </w:p>
    <w:p w14:paraId="458D3888" w14:textId="77777777" w:rsidR="00014A51" w:rsidRPr="00014A51" w:rsidRDefault="00014A51" w:rsidP="00014A5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bCs/>
          <w:kern w:val="0"/>
          <w:sz w:val="21"/>
          <w:szCs w:val="21"/>
          <w:lang w:eastAsia="pl-PL"/>
          <w14:ligatures w14:val="none"/>
        </w:rPr>
      </w:pPr>
    </w:p>
    <w:p w14:paraId="6F42B56F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406D"/>
    <w:multiLevelType w:val="hybridMultilevel"/>
    <w:tmpl w:val="46E41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0AB0"/>
    <w:multiLevelType w:val="hybridMultilevel"/>
    <w:tmpl w:val="5D1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4B0B"/>
    <w:multiLevelType w:val="hybridMultilevel"/>
    <w:tmpl w:val="52EE0070"/>
    <w:lvl w:ilvl="0" w:tplc="47422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132B05"/>
    <w:multiLevelType w:val="hybridMultilevel"/>
    <w:tmpl w:val="DC7C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3181"/>
    <w:multiLevelType w:val="hybridMultilevel"/>
    <w:tmpl w:val="E4427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57CD"/>
    <w:multiLevelType w:val="hybridMultilevel"/>
    <w:tmpl w:val="9E5803D4"/>
    <w:lvl w:ilvl="0" w:tplc="344A773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6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051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1067">
    <w:abstractNumId w:val="0"/>
  </w:num>
  <w:num w:numId="4" w16cid:durableId="1132480223">
    <w:abstractNumId w:val="2"/>
  </w:num>
  <w:num w:numId="5" w16cid:durableId="1124734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380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355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4031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51"/>
    <w:rsid w:val="00014A51"/>
    <w:rsid w:val="00C705E3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5733"/>
  <w15:chartTrackingRefBased/>
  <w15:docId w15:val="{DB05D0BC-D0E8-4A7F-B491-EC3BFDF5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5225</Words>
  <Characters>31350</Characters>
  <Application>Microsoft Office Word</Application>
  <DocSecurity>0</DocSecurity>
  <Lines>261</Lines>
  <Paragraphs>73</Paragraphs>
  <ScaleCrop>false</ScaleCrop>
  <Company/>
  <LinksUpToDate>false</LinksUpToDate>
  <CharactersWithSpaces>36502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cp:lastPrinted>2024-02-15T06:52:00Z</cp:lastPrinted>
  <dcterms:created xsi:type="dcterms:W3CDTF">2024-02-15T06:51:00Z</dcterms:created>
  <dcterms:modified xsi:type="dcterms:W3CDTF">2024-02-15T07:02:00Z</dcterms:modified>
</cp:coreProperties>
</file>