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43FF" w14:textId="77777777" w:rsidR="00701496" w:rsidRDefault="00701496" w:rsidP="00701496">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30 grudnia 2025 r.</w:t>
      </w:r>
    </w:p>
    <w:p w14:paraId="58254BC0" w14:textId="77777777" w:rsidR="00701496" w:rsidRDefault="00701496" w:rsidP="00701496">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6220.13.2025</w:t>
      </w:r>
    </w:p>
    <w:p w14:paraId="29D7F4D9" w14:textId="77777777" w:rsidR="00701496" w:rsidRDefault="00701496" w:rsidP="00701496">
      <w:pPr>
        <w:tabs>
          <w:tab w:val="left" w:pos="426"/>
        </w:tabs>
        <w:spacing w:line="276" w:lineRule="auto"/>
        <w:jc w:val="center"/>
        <w:rPr>
          <w:rFonts w:ascii="Century Gothic" w:eastAsia="Times New Roman" w:hAnsi="Century Gothic" w:cs="Times New Roman"/>
          <w:b/>
          <w:kern w:val="0"/>
          <w:sz w:val="21"/>
          <w:szCs w:val="21"/>
          <w:u w:val="single"/>
          <w14:ligatures w14:val="none"/>
        </w:rPr>
      </w:pPr>
    </w:p>
    <w:p w14:paraId="5CD8DFC1" w14:textId="77777777" w:rsidR="00701496" w:rsidRDefault="00701496" w:rsidP="00701496">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070CCE6D" w14:textId="77777777" w:rsidR="00701496" w:rsidRDefault="00701496" w:rsidP="00701496">
      <w:pPr>
        <w:spacing w:after="0" w:line="276" w:lineRule="auto"/>
        <w:jc w:val="both"/>
        <w:rPr>
          <w:rFonts w:ascii="Century Gothic" w:eastAsia="Times New Roman" w:hAnsi="Century Gothic" w:cs="Calibri"/>
          <w:b/>
          <w:bCs/>
          <w:kern w:val="0"/>
          <w:sz w:val="20"/>
          <w:szCs w:val="20"/>
          <w14:ligatures w14:val="none"/>
        </w:rPr>
      </w:pPr>
      <w:r>
        <w:rPr>
          <w:rFonts w:ascii="Century Gothic" w:eastAsia="Times New Roman" w:hAnsi="Century Gothic" w:cs="Calibri"/>
          <w:kern w:val="0"/>
          <w:sz w:val="20"/>
          <w:szCs w:val="20"/>
          <w14:ligatures w14:val="none"/>
        </w:rPr>
        <w:t xml:space="preserve">Na podstawie art. 49 ustawy z dnia 14 czerwca 1960 r. </w:t>
      </w:r>
      <w:r>
        <w:rPr>
          <w:rFonts w:ascii="Century Gothic" w:eastAsia="Times New Roman" w:hAnsi="Century Gothic" w:cs="Calibri"/>
          <w:i/>
          <w:kern w:val="0"/>
          <w:sz w:val="20"/>
          <w:szCs w:val="20"/>
          <w14:ligatures w14:val="none"/>
        </w:rPr>
        <w:t xml:space="preserve">kodeks postępowania administracyjnego </w:t>
      </w:r>
      <w:r>
        <w:rPr>
          <w:rFonts w:ascii="Century Gothic" w:eastAsia="Times New Roman" w:hAnsi="Century Gothic" w:cs="Calibri"/>
          <w:kern w:val="0"/>
          <w:sz w:val="20"/>
          <w:szCs w:val="20"/>
          <w14:ligatures w14:val="none"/>
        </w:rPr>
        <w:t xml:space="preserve">/Dz. U. 2025 r., poz. 1691/, w związku z art. 74 ust. 3 ustawy </w:t>
      </w:r>
      <w:r>
        <w:rPr>
          <w:rFonts w:ascii="Century Gothic" w:eastAsia="Times New Roman" w:hAnsi="Century Gothic" w:cs="Calibri"/>
          <w:kern w:val="0"/>
          <w:sz w:val="20"/>
          <w:szCs w:val="20"/>
          <w14:ligatures w14:val="none"/>
        </w:rPr>
        <w:br/>
        <w:t xml:space="preserve">z dnia 3 października </w:t>
      </w:r>
      <w:r>
        <w:rPr>
          <w:rFonts w:ascii="Century Gothic" w:eastAsia="Times New Roman" w:hAnsi="Century Gothic" w:cs="Calibri"/>
          <w:bCs/>
          <w:kern w:val="0"/>
          <w:sz w:val="20"/>
          <w:szCs w:val="20"/>
          <w14:ligatures w14:val="none"/>
        </w:rPr>
        <w:t xml:space="preserve">2008 r. </w:t>
      </w:r>
      <w:r>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0"/>
          <w:szCs w:val="20"/>
          <w14:ligatures w14:val="none"/>
        </w:rPr>
        <w:t xml:space="preserve"> </w:t>
      </w:r>
      <w:r>
        <w:rPr>
          <w:rFonts w:ascii="Century Gothic" w:eastAsia="Times New Roman" w:hAnsi="Century Gothic" w:cs="Calibri"/>
          <w:kern w:val="0"/>
          <w:sz w:val="20"/>
          <w:szCs w:val="20"/>
          <w14:ligatures w14:val="none"/>
        </w:rPr>
        <w:t xml:space="preserve">/Dz. U. z 2024 r., poz. 1112 ze zm./ </w:t>
      </w:r>
      <w:r>
        <w:rPr>
          <w:rFonts w:ascii="Century Gothic" w:eastAsia="Times New Roman" w:hAnsi="Century Gothic" w:cs="Calibri"/>
          <w:b/>
          <w:kern w:val="0"/>
          <w:sz w:val="20"/>
          <w:szCs w:val="20"/>
          <w14:ligatures w14:val="none"/>
        </w:rPr>
        <w:t xml:space="preserve">Wójt Gminy Gniezno </w:t>
      </w:r>
      <w:r>
        <w:rPr>
          <w:rFonts w:ascii="Century Gothic" w:eastAsia="Times New Roman" w:hAnsi="Century Gothic" w:cs="Calibri"/>
          <w:bCs/>
          <w:kern w:val="0"/>
          <w:sz w:val="20"/>
          <w:szCs w:val="20"/>
          <w14:ligatures w14:val="none"/>
        </w:rPr>
        <w:t>zawiadamia</w:t>
      </w:r>
      <w:r>
        <w:rPr>
          <w:rFonts w:ascii="Century Gothic" w:eastAsia="Times New Roman" w:hAnsi="Century Gothic" w:cs="Calibri"/>
          <w:b/>
          <w:bCs/>
          <w:kern w:val="0"/>
          <w:sz w:val="20"/>
          <w:szCs w:val="20"/>
          <w14:ligatures w14:val="none"/>
        </w:rPr>
        <w:t xml:space="preserve"> </w:t>
      </w:r>
      <w:r>
        <w:rPr>
          <w:rFonts w:ascii="Century Gothic" w:eastAsia="Times New Roman" w:hAnsi="Century Gothic" w:cs="Calibri"/>
          <w:bCs/>
          <w:kern w:val="0"/>
          <w:sz w:val="20"/>
          <w:szCs w:val="20"/>
          <w14:ligatures w14:val="none"/>
        </w:rPr>
        <w:t>strony postępowania administracyjnego o wydanej</w:t>
      </w:r>
      <w:r>
        <w:rPr>
          <w:rFonts w:ascii="Century Gothic" w:eastAsia="Times New Roman" w:hAnsi="Century Gothic" w:cs="Calibri"/>
          <w:kern w:val="0"/>
          <w:sz w:val="20"/>
          <w:szCs w:val="20"/>
          <w14:ligatures w14:val="none"/>
        </w:rPr>
        <w:t xml:space="preserve"> dnia 30 grudnia 2025 r. decyzji o środowiskowych uwarunkowaniach</w:t>
      </w:r>
      <w:r>
        <w:rPr>
          <w:rFonts w:ascii="Century Gothic" w:eastAsia="Times New Roman" w:hAnsi="Century Gothic" w:cs="Calibri"/>
          <w:b/>
          <w:kern w:val="0"/>
          <w:sz w:val="20"/>
          <w:szCs w:val="20"/>
          <w14:ligatures w14:val="none"/>
        </w:rPr>
        <w:t xml:space="preserve"> </w:t>
      </w:r>
      <w:r>
        <w:rPr>
          <w:rFonts w:ascii="Century Gothic" w:eastAsia="Times New Roman" w:hAnsi="Century Gothic" w:cs="Calibri"/>
          <w:kern w:val="0"/>
          <w:sz w:val="20"/>
          <w:szCs w:val="20"/>
          <w14:ligatures w14:val="none"/>
        </w:rPr>
        <w:t>dla przedsięwzięcia polegającego na</w:t>
      </w:r>
      <w:bookmarkStart w:id="0" w:name="_Hlk75772086"/>
      <w:r>
        <w:rPr>
          <w:rFonts w:ascii="Century Gothic" w:hAnsi="Century Gothic"/>
          <w:b/>
          <w:sz w:val="20"/>
          <w:szCs w:val="20"/>
        </w:rPr>
        <w:t xml:space="preserve"> budowie </w:t>
      </w:r>
      <w:r>
        <w:rPr>
          <w:rFonts w:ascii="Century Gothic" w:hAnsi="Century Gothic" w:cs="Arial"/>
          <w:b/>
          <w:sz w:val="20"/>
          <w:szCs w:val="20"/>
        </w:rPr>
        <w:t xml:space="preserve">centrum logistycznego z obiektami magazynowo – </w:t>
      </w:r>
      <w:proofErr w:type="spellStart"/>
      <w:r>
        <w:rPr>
          <w:rFonts w:ascii="Century Gothic" w:hAnsi="Century Gothic" w:cs="Arial"/>
          <w:b/>
          <w:sz w:val="20"/>
          <w:szCs w:val="20"/>
        </w:rPr>
        <w:t>produkcyjno</w:t>
      </w:r>
      <w:proofErr w:type="spellEnd"/>
      <w:r>
        <w:rPr>
          <w:rFonts w:ascii="Century Gothic" w:hAnsi="Century Gothic" w:cs="Arial"/>
          <w:b/>
          <w:sz w:val="20"/>
          <w:szCs w:val="20"/>
        </w:rPr>
        <w:t xml:space="preserve"> - usługowymi wraz z przestrzeniami biurowo-administracyjnymi, niezbędną infrastrukturą techniczną i towarzyszącą </w:t>
      </w:r>
      <w:r>
        <w:rPr>
          <w:rFonts w:ascii="Century Gothic" w:hAnsi="Century Gothic"/>
          <w:b/>
          <w:sz w:val="20"/>
          <w:szCs w:val="20"/>
        </w:rPr>
        <w:t xml:space="preserve"> w miejscowości Obora, Gmina Gniezno, działka nr 147/1</w:t>
      </w:r>
      <w:r>
        <w:rPr>
          <w:rFonts w:ascii="Century Gothic" w:eastAsia="Times New Roman" w:hAnsi="Century Gothic" w:cs="Calibri"/>
          <w:kern w:val="0"/>
          <w:sz w:val="20"/>
          <w:szCs w:val="20"/>
          <w14:ligatures w14:val="none"/>
        </w:rPr>
        <w:t>,</w:t>
      </w:r>
      <w:r>
        <w:rPr>
          <w:rFonts w:ascii="Century Gothic" w:eastAsia="Times New Roman" w:hAnsi="Century Gothic" w:cs="Calibri"/>
          <w:b/>
          <w:kern w:val="0"/>
          <w:sz w:val="20"/>
          <w:szCs w:val="20"/>
          <w14:ligatures w14:val="none"/>
        </w:rPr>
        <w:t xml:space="preserve"> </w:t>
      </w:r>
      <w:bookmarkEnd w:id="0"/>
      <w:r>
        <w:rPr>
          <w:rFonts w:ascii="Century Gothic" w:eastAsia="Times New Roman" w:hAnsi="Century Gothic" w:cs="Calibri"/>
          <w:bCs/>
          <w:kern w:val="0"/>
          <w:sz w:val="20"/>
          <w:szCs w:val="20"/>
          <w14:ligatures w14:val="none"/>
        </w:rPr>
        <w:t>której treść podaje poniżej.</w:t>
      </w:r>
      <w:r>
        <w:rPr>
          <w:rFonts w:ascii="Century Gothic" w:eastAsia="Times New Roman" w:hAnsi="Century Gothic" w:cs="Calibri"/>
          <w:b/>
          <w:bCs/>
          <w:kern w:val="0"/>
          <w:sz w:val="20"/>
          <w:szCs w:val="20"/>
          <w14:ligatures w14:val="none"/>
        </w:rPr>
        <w:t xml:space="preserve"> </w:t>
      </w:r>
    </w:p>
    <w:p w14:paraId="1157E0E0" w14:textId="77777777" w:rsidR="00701496" w:rsidRDefault="00701496" w:rsidP="00701496">
      <w:pPr>
        <w:spacing w:after="0" w:line="276" w:lineRule="auto"/>
        <w:jc w:val="both"/>
        <w:rPr>
          <w:rFonts w:ascii="Century Gothic" w:eastAsia="Times New Roman" w:hAnsi="Century Gothic" w:cs="Times New Roman"/>
          <w:b/>
          <w:bCs/>
          <w:kern w:val="0"/>
          <w:sz w:val="21"/>
          <w:szCs w:val="21"/>
          <w14:ligatures w14:val="none"/>
        </w:rPr>
      </w:pPr>
    </w:p>
    <w:p w14:paraId="735AAA78" w14:textId="77777777" w:rsidR="00701496" w:rsidRDefault="00701496" w:rsidP="00701496">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784AA72A" w14:textId="77777777" w:rsidR="00701496" w:rsidRDefault="00701496" w:rsidP="00701496">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31 grudnia 2025 roku</w:t>
      </w:r>
      <w:r>
        <w:rPr>
          <w:rFonts w:ascii="Century Gothic" w:eastAsia="Times New Roman" w:hAnsi="Century Gothic" w:cs="Times New Roman"/>
          <w:kern w:val="0"/>
          <w:sz w:val="16"/>
          <w:szCs w:val="16"/>
          <w:lang w:eastAsia="pl-PL"/>
          <w14:ligatures w14:val="none"/>
        </w:rPr>
        <w:t>.</w:t>
      </w:r>
    </w:p>
    <w:p w14:paraId="62FBF3E9" w14:textId="77777777" w:rsidR="00701496" w:rsidRDefault="00701496" w:rsidP="00701496">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Gniezno, dnia 30 grudnia 2025 r.</w:t>
      </w:r>
    </w:p>
    <w:p w14:paraId="76C92302" w14:textId="77777777" w:rsidR="00701496" w:rsidRDefault="00701496" w:rsidP="00701496">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lang w:eastAsia="pl-PL"/>
          <w14:ligatures w14:val="none"/>
        </w:rPr>
        <w:t>OŚR. 6220.13.2025</w:t>
      </w:r>
    </w:p>
    <w:p w14:paraId="1D50FD1D" w14:textId="77777777" w:rsidR="00701496" w:rsidRDefault="00701496" w:rsidP="00701496">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470AFEE7" w14:textId="77777777" w:rsidR="00701496" w:rsidRDefault="00701496" w:rsidP="00701496">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0BE1B4B2" w14:textId="77777777" w:rsidR="00701496" w:rsidRDefault="00701496" w:rsidP="00701496">
      <w:pPr>
        <w:spacing w:after="0" w:line="276" w:lineRule="auto"/>
        <w:jc w:val="both"/>
        <w:rPr>
          <w:rFonts w:ascii="Century Gothic" w:eastAsia="Times New Roman" w:hAnsi="Century Gothic" w:cs="Times New Roman"/>
          <w:kern w:val="0"/>
          <w:sz w:val="21"/>
          <w:szCs w:val="21"/>
          <w:lang w:eastAsia="pl-PL"/>
          <w14:ligatures w14:val="none"/>
        </w:rPr>
      </w:pPr>
    </w:p>
    <w:p w14:paraId="6CDDBCCB" w14:textId="77777777" w:rsidR="00701496" w:rsidRDefault="00701496" w:rsidP="00701496">
      <w:pPr>
        <w:spacing w:after="0" w:line="276" w:lineRule="auto"/>
        <w:jc w:val="both"/>
        <w:rPr>
          <w:rFonts w:ascii="Century Gothic" w:hAnsi="Century Gothic"/>
          <w:b/>
          <w:sz w:val="20"/>
          <w:szCs w:val="20"/>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0"/>
          <w:szCs w:val="20"/>
          <w:lang w:eastAsia="pl-PL"/>
          <w14:ligatures w14:val="none"/>
        </w:rPr>
        <w:t xml:space="preserve">o udostępnianiu informacji </w:t>
      </w:r>
      <w:r>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kern w:val="0"/>
          <w:sz w:val="20"/>
          <w:szCs w:val="20"/>
          <w:lang w:eastAsia="pl-PL"/>
          <w14:ligatures w14:val="none"/>
        </w:rPr>
        <w:br/>
        <w:t>o ocenach oddziaływania na środowisko</w:t>
      </w:r>
      <w:r>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kern w:val="0"/>
          <w:sz w:val="20"/>
          <w:szCs w:val="20"/>
          <w:lang w:eastAsia="pl-PL"/>
          <w14:ligatures w14:val="none"/>
        </w:rPr>
        <w:t xml:space="preserve">kodeks postępowania administracyjnego </w:t>
      </w:r>
      <w:r>
        <w:rPr>
          <w:rFonts w:ascii="Century Gothic" w:eastAsia="Times New Roman" w:hAnsi="Century Gothic" w:cs="Calibri"/>
          <w:kern w:val="0"/>
          <w:sz w:val="20"/>
          <w:szCs w:val="20"/>
          <w:lang w:eastAsia="pl-PL"/>
          <w14:ligatures w14:val="none"/>
        </w:rPr>
        <w:t>/Dz. U. z 2025 r., poz. 1691/, po rozpatrzeniu wniosku</w:t>
      </w:r>
      <w:r>
        <w:rPr>
          <w:rFonts w:ascii="Century Gothic" w:eastAsia="Times New Roman" w:hAnsi="Century Gothic" w:cs="Times New Roman"/>
          <w:kern w:val="0"/>
          <w:sz w:val="20"/>
          <w:szCs w:val="20"/>
          <w14:ligatures w14:val="none"/>
        </w:rPr>
        <w:t xml:space="preserve"> Inwestora</w:t>
      </w:r>
      <w:r>
        <w:rPr>
          <w:rFonts w:ascii="Century Gothic" w:hAnsi="Century Gothic"/>
          <w:b/>
          <w:sz w:val="20"/>
          <w:szCs w:val="20"/>
        </w:rPr>
        <w:t xml:space="preserve"> </w:t>
      </w:r>
      <w:proofErr w:type="spellStart"/>
      <w:r>
        <w:rPr>
          <w:rFonts w:ascii="Century Gothic" w:hAnsi="Century Gothic"/>
          <w:b/>
          <w:sz w:val="20"/>
          <w:szCs w:val="20"/>
        </w:rPr>
        <w:t>Rokinew</w:t>
      </w:r>
      <w:proofErr w:type="spellEnd"/>
      <w:r>
        <w:rPr>
          <w:rFonts w:ascii="Century Gothic" w:hAnsi="Century Gothic"/>
          <w:b/>
          <w:sz w:val="20"/>
          <w:szCs w:val="20"/>
        </w:rPr>
        <w:t xml:space="preserve"> Sp. z.o.o., Aleja Jana Pawła II 27, 00-867 Warszawa reprezentowanego przez Pełnomocnika Panią Agatę Walkowską z firmy Proporcja Sp. z.o.o., ul. Kasprzaka 45, 60-245 Poznań </w:t>
      </w:r>
      <w:r>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r>
        <w:rPr>
          <w:rFonts w:ascii="Century Gothic" w:hAnsi="Century Gothic"/>
          <w:b/>
          <w:sz w:val="20"/>
          <w:szCs w:val="20"/>
        </w:rPr>
        <w:t xml:space="preserve"> budowie </w:t>
      </w:r>
      <w:r>
        <w:rPr>
          <w:rFonts w:ascii="Century Gothic" w:hAnsi="Century Gothic" w:cs="Arial"/>
          <w:b/>
          <w:sz w:val="20"/>
          <w:szCs w:val="20"/>
        </w:rPr>
        <w:t xml:space="preserve">centrum logistycznego z obiektami magazynowo – </w:t>
      </w:r>
      <w:proofErr w:type="spellStart"/>
      <w:r>
        <w:rPr>
          <w:rFonts w:ascii="Century Gothic" w:hAnsi="Century Gothic" w:cs="Arial"/>
          <w:b/>
          <w:sz w:val="20"/>
          <w:szCs w:val="20"/>
        </w:rPr>
        <w:t>produkcyjno</w:t>
      </w:r>
      <w:proofErr w:type="spellEnd"/>
      <w:r>
        <w:rPr>
          <w:rFonts w:ascii="Century Gothic" w:hAnsi="Century Gothic" w:cs="Arial"/>
          <w:b/>
          <w:sz w:val="20"/>
          <w:szCs w:val="20"/>
        </w:rPr>
        <w:t xml:space="preserve"> - usługowymi wraz z przestrzeniami biurowo-administracyjnymi, niezbędną infrastrukturą techniczną i towarzyszącą </w:t>
      </w:r>
      <w:r>
        <w:rPr>
          <w:rFonts w:ascii="Century Gothic" w:hAnsi="Century Gothic"/>
          <w:b/>
          <w:sz w:val="20"/>
          <w:szCs w:val="20"/>
        </w:rPr>
        <w:t xml:space="preserve"> w miejscowości Obora, Gmina Gniezno, działka nr 147/1.</w:t>
      </w:r>
    </w:p>
    <w:p w14:paraId="11A0B76D" w14:textId="77777777" w:rsidR="00701496" w:rsidRDefault="00701496" w:rsidP="00701496">
      <w:pPr>
        <w:spacing w:after="0" w:line="276" w:lineRule="auto"/>
        <w:jc w:val="both"/>
        <w:rPr>
          <w:rFonts w:ascii="Century Gothic" w:eastAsia="Times New Roman" w:hAnsi="Century Gothic" w:cs="Times New Roman"/>
          <w:kern w:val="0"/>
          <w:sz w:val="21"/>
          <w:szCs w:val="21"/>
          <w14:ligatures w14:val="none"/>
        </w:rPr>
      </w:pPr>
    </w:p>
    <w:p w14:paraId="5DA997DA" w14:textId="77777777" w:rsidR="00701496" w:rsidRDefault="00701496" w:rsidP="00701496">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4E337C6E" w14:textId="77777777" w:rsidR="00701496" w:rsidRDefault="00701496" w:rsidP="00701496">
      <w:pPr>
        <w:spacing w:after="0" w:line="276" w:lineRule="auto"/>
        <w:jc w:val="center"/>
        <w:rPr>
          <w:rFonts w:ascii="Century Gothic" w:eastAsia="Times New Roman" w:hAnsi="Century Gothic" w:cs="Calibri"/>
          <w:b/>
          <w:kern w:val="0"/>
          <w:sz w:val="20"/>
          <w:szCs w:val="20"/>
          <w:lang w:eastAsia="pl-PL"/>
          <w14:ligatures w14:val="none"/>
        </w:rPr>
      </w:pPr>
    </w:p>
    <w:p w14:paraId="283979EE" w14:textId="77777777" w:rsidR="00701496" w:rsidRDefault="00701496" w:rsidP="00701496">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kern w:val="0"/>
          <w:sz w:val="20"/>
          <w:szCs w:val="20"/>
          <w:lang w:eastAsia="pl-PL"/>
          <w14:ligatures w14:val="none"/>
        </w:rPr>
        <w:t xml:space="preserve">dla przedsięwzięcia </w:t>
      </w:r>
      <w:r>
        <w:rPr>
          <w:rFonts w:ascii="Century Gothic" w:eastAsia="Times New Roman" w:hAnsi="Century Gothic" w:cs="Calibri"/>
          <w:kern w:val="0"/>
          <w:sz w:val="20"/>
          <w:szCs w:val="20"/>
          <w14:ligatures w14:val="none"/>
        </w:rPr>
        <w:t>polegającego</w:t>
      </w:r>
      <w:r>
        <w:rPr>
          <w:rFonts w:ascii="Century Gothic" w:eastAsia="Times New Roman" w:hAnsi="Century Gothic" w:cs="Calibri"/>
          <w:bCs/>
          <w:kern w:val="0"/>
          <w:sz w:val="20"/>
          <w:szCs w:val="20"/>
          <w14:ligatures w14:val="none"/>
        </w:rPr>
        <w:t xml:space="preserve"> na</w:t>
      </w:r>
      <w:r>
        <w:rPr>
          <w:rFonts w:ascii="Century Gothic" w:hAnsi="Century Gothic"/>
          <w:b/>
          <w:sz w:val="20"/>
          <w:szCs w:val="20"/>
        </w:rPr>
        <w:t xml:space="preserve"> budowie </w:t>
      </w:r>
      <w:r>
        <w:rPr>
          <w:rFonts w:ascii="Century Gothic" w:hAnsi="Century Gothic" w:cs="Arial"/>
          <w:b/>
          <w:sz w:val="20"/>
          <w:szCs w:val="20"/>
        </w:rPr>
        <w:t xml:space="preserve">centrum logistycznego z obiektami magazynowo – </w:t>
      </w:r>
      <w:proofErr w:type="spellStart"/>
      <w:r>
        <w:rPr>
          <w:rFonts w:ascii="Century Gothic" w:hAnsi="Century Gothic" w:cs="Arial"/>
          <w:b/>
          <w:sz w:val="20"/>
          <w:szCs w:val="20"/>
        </w:rPr>
        <w:t>produkcyjno</w:t>
      </w:r>
      <w:proofErr w:type="spellEnd"/>
      <w:r>
        <w:rPr>
          <w:rFonts w:ascii="Century Gothic" w:hAnsi="Century Gothic" w:cs="Arial"/>
          <w:b/>
          <w:sz w:val="20"/>
          <w:szCs w:val="20"/>
        </w:rPr>
        <w:t xml:space="preserve"> - usługowymi wraz z przestrzeniami biurowo-administracyjnymi, niezbędną infrastrukturą techniczną i towarzyszącą </w:t>
      </w:r>
      <w:r>
        <w:rPr>
          <w:rFonts w:ascii="Century Gothic" w:hAnsi="Century Gothic"/>
          <w:b/>
          <w:sz w:val="20"/>
          <w:szCs w:val="20"/>
        </w:rPr>
        <w:t xml:space="preserve"> w miejscowości Obora, Gmina Gniezno, działka nr 147/1.</w:t>
      </w:r>
    </w:p>
    <w:p w14:paraId="40075D80" w14:textId="77777777" w:rsidR="00701496" w:rsidRDefault="00701496" w:rsidP="00701496">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Pr>
          <w:rFonts w:ascii="Century Gothic" w:eastAsia="Times New Roman" w:hAnsi="Century Gothic" w:cs="Calibri"/>
          <w:b/>
          <w:kern w:val="0"/>
          <w:sz w:val="20"/>
          <w:szCs w:val="20"/>
          <w14:ligatures w14:val="none"/>
        </w:rPr>
        <w:lastRenderedPageBreak/>
        <w:t xml:space="preserve">Określić następujące </w:t>
      </w:r>
      <w:r>
        <w:rPr>
          <w:rFonts w:ascii="Century Gothic" w:eastAsia="Times New Roman" w:hAnsi="Century Gothic" w:cs="Calibri"/>
          <w:b/>
          <w:kern w:val="0"/>
          <w:sz w:val="20"/>
          <w:szCs w:val="20"/>
          <w:lang w:eastAsia="pl-PL"/>
          <w14:ligatures w14:val="none"/>
        </w:rPr>
        <w:t>środowiskowe uwarunkowania realizacji opisanego wyżej przedsięwzięcia:</w:t>
      </w:r>
    </w:p>
    <w:p w14:paraId="759AE09F" w14:textId="77777777" w:rsidR="00701496" w:rsidRDefault="00701496" w:rsidP="00701496">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i/>
          <w:iCs/>
          <w:kern w:val="0"/>
          <w:sz w:val="20"/>
          <w:szCs w:val="20"/>
          <w:u w:val="single"/>
          <w:lang w:eastAsia="pl-PL"/>
          <w14:ligatures w14:val="none"/>
        </w:rPr>
        <w:t>Rodzaj i miejsce realizacji przedsięwzięcia</w:t>
      </w:r>
    </w:p>
    <w:p w14:paraId="51A82DE5" w14:textId="77777777" w:rsidR="00701496" w:rsidRDefault="00701496" w:rsidP="00701496">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hAnsi="Century Gothic"/>
          <w:bCs/>
          <w:sz w:val="20"/>
          <w:szCs w:val="20"/>
        </w:rPr>
        <w:t xml:space="preserve">Budowa </w:t>
      </w:r>
      <w:r>
        <w:rPr>
          <w:rFonts w:ascii="Century Gothic" w:hAnsi="Century Gothic" w:cs="Arial"/>
          <w:bCs/>
          <w:sz w:val="20"/>
          <w:szCs w:val="20"/>
        </w:rPr>
        <w:t xml:space="preserve">centrum logistycznego z obiektami magazynowo – </w:t>
      </w:r>
      <w:proofErr w:type="spellStart"/>
      <w:r>
        <w:rPr>
          <w:rFonts w:ascii="Century Gothic" w:hAnsi="Century Gothic" w:cs="Arial"/>
          <w:bCs/>
          <w:sz w:val="20"/>
          <w:szCs w:val="20"/>
        </w:rPr>
        <w:t>produkcyjno</w:t>
      </w:r>
      <w:proofErr w:type="spellEnd"/>
      <w:r>
        <w:rPr>
          <w:rFonts w:ascii="Century Gothic" w:hAnsi="Century Gothic" w:cs="Arial"/>
          <w:bCs/>
          <w:sz w:val="20"/>
          <w:szCs w:val="20"/>
        </w:rPr>
        <w:t xml:space="preserve"> - usługowymi wraz z przestrzeniami biurowo-administracyjnymi, niezbędną infrastrukturą techniczną i towarzyszącą</w:t>
      </w:r>
      <w:r>
        <w:rPr>
          <w:rFonts w:ascii="Century Gothic" w:eastAsia="Times New Roman" w:hAnsi="Century Gothic" w:cs="Calibri"/>
          <w:bCs/>
          <w:i/>
          <w:kern w:val="0"/>
          <w:sz w:val="20"/>
          <w:szCs w:val="20"/>
          <w14:ligatures w14:val="none"/>
        </w:rPr>
        <w:t xml:space="preserve">, </w:t>
      </w:r>
      <w:r>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3BF58707" w14:textId="77777777" w:rsidR="00701496" w:rsidRDefault="00701496" w:rsidP="00701496">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bCs/>
          <w:kern w:val="0"/>
          <w:sz w:val="20"/>
          <w:szCs w:val="20"/>
          <w:lang w:eastAsia="pl-PL"/>
          <w14:ligatures w14:val="none"/>
        </w:rPr>
        <w:t xml:space="preserve">Przedsięwzięcie realizowane będzie </w:t>
      </w:r>
      <w:r>
        <w:rPr>
          <w:rFonts w:ascii="Century Gothic" w:eastAsia="Times New Roman" w:hAnsi="Century Gothic" w:cs="Calibri"/>
          <w:bCs/>
          <w:kern w:val="0"/>
          <w:sz w:val="20"/>
          <w:szCs w:val="20"/>
          <w14:ligatures w14:val="none"/>
        </w:rPr>
        <w:t xml:space="preserve">na nieruchomości oznaczonej geodezyjnie jako działka nr 147/1, położona w miejscowości Obora, Gmina Gniezno. </w:t>
      </w:r>
    </w:p>
    <w:p w14:paraId="5549F367" w14:textId="77777777" w:rsidR="00701496" w:rsidRDefault="00701496" w:rsidP="00701496">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110BAAC9" w14:textId="77777777" w:rsidR="00701496" w:rsidRDefault="00701496" w:rsidP="00701496">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Pr>
          <w:rFonts w:ascii="Century Gothic" w:hAnsi="Century Gothic"/>
          <w:sz w:val="20"/>
          <w:szCs w:val="20"/>
        </w:rPr>
        <w:t>Nie prowadzić napraw i konserwacji sprzętu budowlanego na terenie przedsięwzięcia.</w:t>
      </w:r>
    </w:p>
    <w:p w14:paraId="07A397DF" w14:textId="77777777" w:rsidR="00701496" w:rsidRDefault="00701496" w:rsidP="00701496">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etapie realizacji przedsięwzięcia miejsce postoju i serwisowania maszyn budowlanych oraz sprzętu transportowego należy zorganizować na terenie uszczelnionym, co zabezpieczy grunt i wody przed przedostaniem się do nich zanieczyszczeń (w tym substancji ropopochodnych). </w:t>
      </w:r>
    </w:p>
    <w:p w14:paraId="2A05F7FE" w14:textId="77777777" w:rsidR="00701496" w:rsidRDefault="00701496" w:rsidP="00701496">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Teren budowy wyposażyć w sorbenty; wszelki wycieki niezwłocznie neutralizować, </w:t>
      </w:r>
    </w:p>
    <w:p w14:paraId="420784AB" w14:textId="77777777" w:rsidR="00701496" w:rsidRDefault="00701496" w:rsidP="00701496">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Odpady powstające w trakcie prowadzenia prac budowlanych, należy gromadzić zgodnie z przepisami odrębnymi, w celu zabezpieczenia gruntu i wód przed zanieczyszczeniem odciekami, </w:t>
      </w:r>
    </w:p>
    <w:p w14:paraId="35797335" w14:textId="77777777" w:rsidR="00701496" w:rsidRDefault="00701496" w:rsidP="00701496">
      <w:pPr>
        <w:pStyle w:val="Akapitzlist"/>
        <w:numPr>
          <w:ilvl w:val="1"/>
          <w:numId w:val="2"/>
        </w:numPr>
        <w:spacing w:after="0" w:line="276" w:lineRule="auto"/>
        <w:ind w:left="1434" w:hanging="357"/>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0F457EFD"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Wycinkę krzewów przeprowadzić od 1 września do końca lutego.</w:t>
      </w:r>
    </w:p>
    <w:p w14:paraId="7825755E"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Przeprowadzić nasadzenia krzewów, minimalizujące straty przyrodnicze związane z ich wycinką powierzchni nie mniejszej niż powierzchnia usuwanych krzewów; do </w:t>
      </w:r>
      <w:proofErr w:type="spellStart"/>
      <w:r>
        <w:rPr>
          <w:rFonts w:ascii="Century Gothic" w:eastAsia="Times New Roman" w:hAnsi="Century Gothic" w:cs="Calibri"/>
          <w:kern w:val="0"/>
          <w:sz w:val="20"/>
          <w:szCs w:val="20"/>
          <w14:ligatures w14:val="none"/>
        </w:rPr>
        <w:t>nasadzeń</w:t>
      </w:r>
      <w:proofErr w:type="spellEnd"/>
      <w:r>
        <w:rPr>
          <w:rFonts w:ascii="Century Gothic" w:eastAsia="Times New Roman" w:hAnsi="Century Gothic" w:cs="Calibri"/>
          <w:kern w:val="0"/>
          <w:sz w:val="20"/>
          <w:szCs w:val="20"/>
          <w14:ligatures w14:val="none"/>
        </w:rPr>
        <w:t xml:space="preserve"> nie stosować roślin gatunków obcego pochodzenia.</w:t>
      </w:r>
    </w:p>
    <w:p w14:paraId="50147F99"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Nasadzenia pielęgnować i regularne podlewać przez okres min. 3 lat.</w:t>
      </w:r>
    </w:p>
    <w:p w14:paraId="3D6FF284"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Prowadzić monitoring udatności i trwałości </w:t>
      </w:r>
      <w:proofErr w:type="spellStart"/>
      <w:r>
        <w:rPr>
          <w:rFonts w:ascii="Century Gothic" w:eastAsia="Times New Roman" w:hAnsi="Century Gothic" w:cs="Calibri"/>
          <w:kern w:val="0"/>
          <w:sz w:val="20"/>
          <w:szCs w:val="20"/>
          <w14:ligatures w14:val="none"/>
        </w:rPr>
        <w:t>nasadzeń</w:t>
      </w:r>
      <w:proofErr w:type="spellEnd"/>
      <w:r>
        <w:rPr>
          <w:rFonts w:ascii="Century Gothic" w:eastAsia="Times New Roman" w:hAnsi="Century Gothic" w:cs="Calibri"/>
          <w:kern w:val="0"/>
          <w:sz w:val="20"/>
          <w:szCs w:val="20"/>
          <w14:ligatures w14:val="none"/>
        </w:rPr>
        <w:t xml:space="preserve"> krzewów w okresie 3 lat od ich posadzenia — w 1, 2 i 3 roku. W przypadku stwierdzonego braku zachowania żywotności drzew lub krzewów, nasadzenia należy uzupełnić w stosunku 1 :1 w następnym roku kalendarzowym i pielęgnować i regularnie podlewać przez kolejne 3 lata.</w:t>
      </w:r>
    </w:p>
    <w:p w14:paraId="0AB774F1"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Likwidację istniejącego w centralnej części działki o numerze </w:t>
      </w:r>
      <w:proofErr w:type="spellStart"/>
      <w:r>
        <w:rPr>
          <w:rFonts w:ascii="Century Gothic" w:eastAsia="Times New Roman" w:hAnsi="Century Gothic" w:cs="Calibri"/>
          <w:kern w:val="0"/>
          <w:sz w:val="20"/>
          <w:szCs w:val="20"/>
          <w14:ligatures w14:val="none"/>
        </w:rPr>
        <w:t>ewid</w:t>
      </w:r>
      <w:proofErr w:type="spellEnd"/>
      <w:r>
        <w:rPr>
          <w:rFonts w:ascii="Century Gothic" w:eastAsia="Times New Roman" w:hAnsi="Century Gothic" w:cs="Calibri"/>
          <w:kern w:val="0"/>
          <w:sz w:val="20"/>
          <w:szCs w:val="20"/>
          <w14:ligatures w14:val="none"/>
        </w:rPr>
        <w:t>. 147/1 obręb Obora zbiornika wodnego i rowu melioracyjnego przeprowadzić w okresie od 1 listopada do 15 lutego.</w:t>
      </w:r>
    </w:p>
    <w:p w14:paraId="3B0E03DD"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Budowę nowego zbiornika wodnego, stanowiącego siedlisko zastępcze płazów, przeprowadzić w </w:t>
      </w:r>
      <w:proofErr w:type="spellStart"/>
      <w:r>
        <w:rPr>
          <w:rFonts w:ascii="Century Gothic" w:eastAsia="Times New Roman" w:hAnsi="Century Gothic" w:cs="Calibri"/>
          <w:kern w:val="0"/>
          <w:sz w:val="20"/>
          <w:szCs w:val="20"/>
          <w14:ligatures w14:val="none"/>
        </w:rPr>
        <w:t>płd-wsch</w:t>
      </w:r>
      <w:proofErr w:type="spellEnd"/>
      <w:r>
        <w:rPr>
          <w:rFonts w:ascii="Century Gothic" w:eastAsia="Times New Roman" w:hAnsi="Century Gothic" w:cs="Calibri"/>
          <w:kern w:val="0"/>
          <w:sz w:val="20"/>
          <w:szCs w:val="20"/>
          <w14:ligatures w14:val="none"/>
        </w:rPr>
        <w:t xml:space="preserve"> części działki inwestycyjnej, przed likwidacją istniejącego zbiornika wodnego i rowu melioracyjnego. Brzegi zbiornika wyprofilować w sposób umożliwiający wydostanie się z niego zwierzętom.</w:t>
      </w:r>
    </w:p>
    <w:p w14:paraId="23B7059C"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Wzdłuż południowo-wschodniej granicy przedsięwzięcia wykonać płotki herpetologiczne. Płotki wykonać z </w:t>
      </w:r>
      <w:proofErr w:type="spellStart"/>
      <w:r>
        <w:rPr>
          <w:rFonts w:ascii="Century Gothic" w:eastAsia="Times New Roman" w:hAnsi="Century Gothic" w:cs="Calibri"/>
          <w:kern w:val="0"/>
          <w:sz w:val="20"/>
          <w:szCs w:val="20"/>
          <w14:ligatures w14:val="none"/>
        </w:rPr>
        <w:t>geotkaniny</w:t>
      </w:r>
      <w:proofErr w:type="spellEnd"/>
      <w:r>
        <w:rPr>
          <w:rFonts w:ascii="Century Gothic" w:eastAsia="Times New Roman" w:hAnsi="Century Gothic" w:cs="Calibri"/>
          <w:kern w:val="0"/>
          <w:sz w:val="20"/>
          <w:szCs w:val="20"/>
          <w14:ligatures w14:val="none"/>
        </w:rPr>
        <w:t xml:space="preserve">, o wysokości co najmniej 50 cm nad poziom gruntu z przewieszką w górnej części o szerokości co najmniej 5 cm skierowaną w kierunku przeciwnym do terenu robót i wkopanymi w ziemię na </w:t>
      </w:r>
      <w:r>
        <w:rPr>
          <w:rFonts w:ascii="Century Gothic" w:eastAsia="Times New Roman" w:hAnsi="Century Gothic" w:cs="Calibri"/>
          <w:kern w:val="0"/>
          <w:sz w:val="20"/>
          <w:szCs w:val="20"/>
          <w14:ligatures w14:val="none"/>
        </w:rPr>
        <w:lastRenderedPageBreak/>
        <w:t>głębokość minimum 10 cm. Płotki herpetologiczne połączyć w trwały sposób z ogrodzeniem zakładu. Wykonanie płotków herpetologicznych oraz budowę zastępczego zbiornika wodnego prowadzić pod udokumentowanym nadzorem herpetologicznym.</w:t>
      </w:r>
    </w:p>
    <w:p w14:paraId="3F5F00B9"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 centrum logistycznym z obiektami magazynowo- produkcyjno- usługowymi wraz z przestrzeniami biurowo-administracyjnymi dopuszcza się prowadzenie działalności</w:t>
      </w:r>
      <w:r>
        <w:rPr>
          <w:sz w:val="20"/>
          <w:szCs w:val="20"/>
        </w:rPr>
        <w:t xml:space="preserve"> </w:t>
      </w:r>
      <w:r>
        <w:rPr>
          <w:rFonts w:ascii="Century Gothic" w:eastAsia="Times New Roman" w:hAnsi="Century Gothic" w:cs="Calibri"/>
          <w:kern w:val="0"/>
          <w:sz w:val="20"/>
          <w:szCs w:val="20"/>
          <w14:ligatures w14:val="none"/>
        </w:rPr>
        <w:t>przy pomocy instalacji niebędących przedsięwzięciami mogącymi znacząco oddziaływać na środowisko.</w:t>
      </w:r>
    </w:p>
    <w:p w14:paraId="3AAB84E3" w14:textId="77777777" w:rsidR="00701496" w:rsidRDefault="00701496" w:rsidP="00701496">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6115BD79" w14:textId="77777777" w:rsidR="00701496" w:rsidRDefault="00701496" w:rsidP="00701496">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Zaopatrzenie w wodę zapewnić z sieci wodociągowej.</w:t>
      </w:r>
    </w:p>
    <w:p w14:paraId="1A12AFF7" w14:textId="77777777" w:rsidR="00701496" w:rsidRDefault="00701496" w:rsidP="00701496">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59F54483" w14:textId="77777777" w:rsidR="00701496" w:rsidRDefault="00701496" w:rsidP="00701496">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Pr>
          <w:rFonts w:ascii="Century Gothic" w:hAnsi="Century Gothic"/>
          <w:sz w:val="20"/>
          <w:szCs w:val="20"/>
        </w:rPr>
        <w:t>Ścieki odprowadzać do sieci kanalizacji sanitarnej. Dopuszcza się ich odprowadzenie do szczelnych zbiorników bezodpływowych jedynie w przypadku braku możliwości podłączenia planowanych obiektów do sieci kanalizacji sanitarnej. Podłączenie do sieci kanalizacji sanitarnej wykonać niezwłocznie, jak to będzie technicznie możliwe.</w:t>
      </w:r>
    </w:p>
    <w:p w14:paraId="31522EC1" w14:textId="77777777" w:rsidR="00701496" w:rsidRDefault="00701496" w:rsidP="00701496">
      <w:pPr>
        <w:pStyle w:val="Akapitzlist"/>
        <w:numPr>
          <w:ilvl w:val="1"/>
          <w:numId w:val="2"/>
        </w:numPr>
        <w:spacing w:after="0" w:line="276" w:lineRule="auto"/>
        <w:jc w:val="both"/>
        <w:rPr>
          <w:rFonts w:ascii="Century Gothic" w:hAnsi="Century Gothic" w:cs="Calibri"/>
          <w:sz w:val="20"/>
          <w:szCs w:val="20"/>
        </w:rPr>
      </w:pPr>
      <w:r>
        <w:rPr>
          <w:rFonts w:ascii="Century Gothic" w:hAnsi="Century Gothic" w:cs="Calibri"/>
          <w:sz w:val="20"/>
          <w:szCs w:val="20"/>
        </w:rPr>
        <w:t>Wody opadowe i roztopowe z powierzchni drogowych, placów manewrowych oraz parkingów podczyszczać w osadniku i w separatorze substancji ropopochodnych.</w:t>
      </w:r>
    </w:p>
    <w:p w14:paraId="38D881CC" w14:textId="77777777" w:rsidR="00701496" w:rsidRDefault="00701496" w:rsidP="00701496">
      <w:pPr>
        <w:pStyle w:val="Akapitzlist"/>
        <w:numPr>
          <w:ilvl w:val="1"/>
          <w:numId w:val="2"/>
        </w:numPr>
        <w:spacing w:after="0" w:line="276" w:lineRule="auto"/>
        <w:jc w:val="both"/>
        <w:rPr>
          <w:rFonts w:ascii="Century Gothic" w:hAnsi="Century Gothic" w:cs="Calibri"/>
          <w:sz w:val="20"/>
          <w:szCs w:val="20"/>
        </w:rPr>
      </w:pPr>
      <w:r>
        <w:rPr>
          <w:rFonts w:ascii="Century Gothic" w:hAnsi="Century Gothic" w:cs="Calibri"/>
          <w:sz w:val="20"/>
          <w:szCs w:val="20"/>
        </w:rPr>
        <w:t>Wody opadowe i roztopowe z terenu planowego przedsięwzięcia w miarę możliwości retencjonować i wykorzystywać do podlewania terenów zieleni lub wykorzystywać do spłukiwania toalet.</w:t>
      </w:r>
    </w:p>
    <w:p w14:paraId="64F84739"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Na terenie inwestycyjnym należy zachować możliwość infiltracji wód opadowych do gruntu przynajmniej na powierzchni 10 % łącznej powierzchni działek inwestycyjnych (tereny zielone, niecki </w:t>
      </w:r>
      <w:proofErr w:type="spellStart"/>
      <w:r>
        <w:rPr>
          <w:rFonts w:ascii="Century Gothic" w:eastAsia="Times New Roman" w:hAnsi="Century Gothic" w:cs="Calibri"/>
          <w:kern w:val="0"/>
          <w:sz w:val="20"/>
          <w:szCs w:val="20"/>
          <w14:ligatures w14:val="none"/>
        </w:rPr>
        <w:t>bioretencyjne</w:t>
      </w:r>
      <w:proofErr w:type="spellEnd"/>
      <w:r>
        <w:rPr>
          <w:rFonts w:ascii="Century Gothic" w:eastAsia="Times New Roman" w:hAnsi="Century Gothic" w:cs="Calibri"/>
          <w:kern w:val="0"/>
          <w:sz w:val="20"/>
          <w:szCs w:val="20"/>
          <w14:ligatures w14:val="none"/>
        </w:rPr>
        <w:t xml:space="preserve">, utwardzenia z możliwością wsiąkania, nawierzchnie wodoprzepuszczalne). </w:t>
      </w:r>
    </w:p>
    <w:p w14:paraId="23D146ED"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terenie przedsięwzięcia nie prowadzić procesów technologicznych powodujących emisję substancji do powietrza.</w:t>
      </w:r>
    </w:p>
    <w:p w14:paraId="2E9AB72F"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Na terenie przedsięwzięcia zainstalować maksymalnie:</w:t>
      </w:r>
    </w:p>
    <w:p w14:paraId="00724BB0" w14:textId="77777777" w:rsidR="00701496" w:rsidRDefault="00701496" w:rsidP="00701496">
      <w:pPr>
        <w:pStyle w:val="Akapitzlist"/>
        <w:spacing w:after="0" w:line="276" w:lineRule="auto"/>
        <w:ind w:left="144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 do 56 sztuk gazowych urządzeń — promienników o mocy do 45 kW każde;  </w:t>
      </w:r>
    </w:p>
    <w:p w14:paraId="3BCE4899" w14:textId="77777777" w:rsidR="00701496" w:rsidRDefault="00701496" w:rsidP="00701496">
      <w:pPr>
        <w:pStyle w:val="Akapitzlist"/>
        <w:spacing w:after="0" w:line="276" w:lineRule="auto"/>
        <w:ind w:left="144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 do 8 sztuk kotłów gazowych o mocy 90 kW każdy;   </w:t>
      </w:r>
    </w:p>
    <w:p w14:paraId="73C3EF1F" w14:textId="77777777" w:rsidR="00701496" w:rsidRDefault="00701496" w:rsidP="00701496">
      <w:pPr>
        <w:pStyle w:val="Akapitzlist"/>
        <w:spacing w:after="0" w:line="276" w:lineRule="auto"/>
        <w:ind w:left="144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 do 24 sztuk central wentylacyjnych z nagrzewnicą gazową o mocy 60 kW każda;   </w:t>
      </w:r>
    </w:p>
    <w:p w14:paraId="3EB95FE3" w14:textId="77777777" w:rsidR="00701496" w:rsidRDefault="00701496" w:rsidP="00701496">
      <w:pPr>
        <w:pStyle w:val="Akapitzlist"/>
        <w:spacing w:after="0" w:line="276" w:lineRule="auto"/>
        <w:ind w:left="144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xml:space="preserve">- do 20 sztuk central wentylacyjnych z nagrzewnicą gazową o mocy 110 kW każda;  </w:t>
      </w:r>
    </w:p>
    <w:p w14:paraId="68A06965" w14:textId="77777777" w:rsidR="00701496" w:rsidRDefault="00701496" w:rsidP="00701496">
      <w:pPr>
        <w:pStyle w:val="Akapitzlist"/>
        <w:spacing w:after="0" w:line="276" w:lineRule="auto"/>
        <w:ind w:left="1440"/>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 do 38 sztuk central wentylacyjnych z nagrzewnicą gazową o mocy 200 kW każda.</w:t>
      </w:r>
    </w:p>
    <w:p w14:paraId="6CF8310A" w14:textId="77777777" w:rsidR="00701496" w:rsidRDefault="00701496" w:rsidP="00701496">
      <w:pPr>
        <w:pStyle w:val="Akapitzlist"/>
        <w:numPr>
          <w:ilvl w:val="1"/>
          <w:numId w:val="2"/>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W ramach centrum logistycznego zainstalować następujące urządzenia będące zewnętrznymi źródłami hałasu, w maksymalnej ilości (równej lub mniejszej) i o poziomach mocy akustycznej nie wyższych (tj. równych lub niższych) niż w poniższym zestawieniu. Dopuszcza się możliwość całkowitej rezygnacji z instalowania wybranych źródeł hałasu.</w:t>
      </w:r>
    </w:p>
    <w:tbl>
      <w:tblPr>
        <w:tblStyle w:val="TableGrid"/>
        <w:tblW w:w="8489" w:type="dxa"/>
        <w:tblInd w:w="490" w:type="dxa"/>
        <w:tblCellMar>
          <w:top w:w="19" w:type="dxa"/>
          <w:left w:w="62" w:type="dxa"/>
          <w:right w:w="72" w:type="dxa"/>
        </w:tblCellMar>
        <w:tblLook w:val="04A0" w:firstRow="1" w:lastRow="0" w:firstColumn="1" w:lastColumn="0" w:noHBand="0" w:noVBand="1"/>
      </w:tblPr>
      <w:tblGrid>
        <w:gridCol w:w="540"/>
        <w:gridCol w:w="4844"/>
        <w:gridCol w:w="1579"/>
        <w:gridCol w:w="1526"/>
      </w:tblGrid>
      <w:tr w:rsidR="00701496" w14:paraId="435FE5D0" w14:textId="77777777">
        <w:trPr>
          <w:trHeight w:val="1711"/>
        </w:trPr>
        <w:tc>
          <w:tcPr>
            <w:tcW w:w="541" w:type="dxa"/>
            <w:tcBorders>
              <w:top w:val="single" w:sz="2" w:space="0" w:color="000000"/>
              <w:left w:val="single" w:sz="2" w:space="0" w:color="000000"/>
              <w:bottom w:val="single" w:sz="2" w:space="0" w:color="000000"/>
              <w:right w:val="single" w:sz="2" w:space="0" w:color="000000"/>
            </w:tcBorders>
            <w:hideMark/>
          </w:tcPr>
          <w:p w14:paraId="087E3550" w14:textId="77777777" w:rsidR="00701496" w:rsidRDefault="00701496">
            <w:pPr>
              <w:spacing w:line="256" w:lineRule="auto"/>
              <w:ind w:left="14"/>
              <w:rPr>
                <w:rFonts w:ascii="Century Gothic" w:hAnsi="Century Gothic"/>
                <w:sz w:val="20"/>
                <w:szCs w:val="20"/>
              </w:rPr>
            </w:pPr>
            <w:proofErr w:type="spellStart"/>
            <w:r>
              <w:rPr>
                <w:rFonts w:ascii="Century Gothic" w:hAnsi="Century Gothic"/>
                <w:sz w:val="20"/>
                <w:szCs w:val="20"/>
              </w:rPr>
              <w:lastRenderedPageBreak/>
              <w:t>L.p</w:t>
            </w:r>
            <w:proofErr w:type="spellEnd"/>
          </w:p>
        </w:tc>
        <w:tc>
          <w:tcPr>
            <w:tcW w:w="4874" w:type="dxa"/>
            <w:tcBorders>
              <w:top w:val="single" w:sz="2" w:space="0" w:color="000000"/>
              <w:left w:val="single" w:sz="2" w:space="0" w:color="000000"/>
              <w:bottom w:val="single" w:sz="2" w:space="0" w:color="000000"/>
              <w:right w:val="single" w:sz="2" w:space="0" w:color="000000"/>
            </w:tcBorders>
            <w:hideMark/>
          </w:tcPr>
          <w:p w14:paraId="6CCFE818" w14:textId="77777777" w:rsidR="00701496" w:rsidRPr="00701496" w:rsidRDefault="00701496">
            <w:pPr>
              <w:spacing w:line="256" w:lineRule="auto"/>
              <w:jc w:val="center"/>
              <w:rPr>
                <w:rFonts w:ascii="Century Gothic" w:hAnsi="Century Gothic"/>
                <w:sz w:val="20"/>
                <w:szCs w:val="20"/>
                <w:lang w:val="pl-PL"/>
              </w:rPr>
            </w:pPr>
            <w:r w:rsidRPr="00701496">
              <w:rPr>
                <w:rFonts w:ascii="Century Gothic" w:hAnsi="Century Gothic"/>
                <w:sz w:val="20"/>
                <w:szCs w:val="20"/>
                <w:lang w:val="pl-PL"/>
              </w:rPr>
              <w:t>Nazwa urządzenia będącego zewnętrznym źródłem hałasu</w:t>
            </w:r>
          </w:p>
        </w:tc>
        <w:tc>
          <w:tcPr>
            <w:tcW w:w="1579" w:type="dxa"/>
            <w:tcBorders>
              <w:top w:val="single" w:sz="2" w:space="0" w:color="000000"/>
              <w:left w:val="single" w:sz="2" w:space="0" w:color="000000"/>
              <w:bottom w:val="single" w:sz="2" w:space="0" w:color="000000"/>
              <w:right w:val="single" w:sz="2" w:space="0" w:color="000000"/>
            </w:tcBorders>
            <w:hideMark/>
          </w:tcPr>
          <w:p w14:paraId="7F07DD19" w14:textId="77777777" w:rsidR="00701496" w:rsidRDefault="00701496">
            <w:pPr>
              <w:spacing w:line="216" w:lineRule="auto"/>
              <w:ind w:left="302" w:hanging="110"/>
              <w:jc w:val="center"/>
              <w:rPr>
                <w:rFonts w:ascii="Century Gothic" w:hAnsi="Century Gothic"/>
                <w:sz w:val="20"/>
                <w:szCs w:val="20"/>
              </w:rPr>
            </w:pPr>
            <w:proofErr w:type="spellStart"/>
            <w:r>
              <w:rPr>
                <w:rFonts w:ascii="Century Gothic" w:hAnsi="Century Gothic"/>
                <w:sz w:val="20"/>
                <w:szCs w:val="20"/>
              </w:rPr>
              <w:t>Maksymalna</w:t>
            </w:r>
            <w:proofErr w:type="spellEnd"/>
            <w:r>
              <w:rPr>
                <w:rFonts w:ascii="Century Gothic" w:hAnsi="Century Gothic"/>
                <w:sz w:val="20"/>
                <w:szCs w:val="20"/>
              </w:rPr>
              <w:t xml:space="preserve"> </w:t>
            </w:r>
            <w:proofErr w:type="spellStart"/>
            <w:r>
              <w:rPr>
                <w:rFonts w:ascii="Century Gothic" w:hAnsi="Century Gothic"/>
                <w:sz w:val="20"/>
                <w:szCs w:val="20"/>
              </w:rPr>
              <w:t>liczba</w:t>
            </w:r>
            <w:proofErr w:type="spellEnd"/>
            <w:r>
              <w:rPr>
                <w:rFonts w:ascii="Century Gothic" w:hAnsi="Century Gothic"/>
                <w:sz w:val="20"/>
                <w:szCs w:val="20"/>
              </w:rPr>
              <w:t xml:space="preserve"> </w:t>
            </w:r>
            <w:proofErr w:type="spellStart"/>
            <w:r>
              <w:rPr>
                <w:rFonts w:ascii="Century Gothic" w:hAnsi="Century Gothic"/>
                <w:sz w:val="20"/>
                <w:szCs w:val="20"/>
              </w:rPr>
              <w:t>urządzeń</w:t>
            </w:r>
            <w:proofErr w:type="spellEnd"/>
          </w:p>
          <w:p w14:paraId="6BB9F600" w14:textId="77777777" w:rsidR="00701496" w:rsidRDefault="00701496">
            <w:pPr>
              <w:spacing w:line="256" w:lineRule="auto"/>
              <w:ind w:left="106"/>
              <w:jc w:val="center"/>
              <w:rPr>
                <w:rFonts w:ascii="Century Gothic" w:hAnsi="Century Gothic"/>
                <w:sz w:val="20"/>
                <w:szCs w:val="20"/>
              </w:rPr>
            </w:pPr>
            <w:r>
              <w:rPr>
                <w:rFonts w:ascii="Century Gothic" w:hAnsi="Century Gothic"/>
                <w:sz w:val="20"/>
                <w:szCs w:val="20"/>
              </w:rPr>
              <w:t>(</w:t>
            </w:r>
            <w:proofErr w:type="spellStart"/>
            <w:r>
              <w:rPr>
                <w:rFonts w:ascii="Century Gothic" w:hAnsi="Century Gothic"/>
                <w:sz w:val="20"/>
                <w:szCs w:val="20"/>
              </w:rPr>
              <w:t>szt</w:t>
            </w:r>
            <w:proofErr w:type="spellEnd"/>
            <w:r>
              <w:rPr>
                <w:rFonts w:ascii="Century Gothic" w:hAnsi="Century Gothic"/>
                <w:sz w:val="20"/>
                <w:szCs w:val="20"/>
              </w:rPr>
              <w:t>.)</w:t>
            </w:r>
          </w:p>
        </w:tc>
        <w:tc>
          <w:tcPr>
            <w:tcW w:w="1496" w:type="dxa"/>
            <w:tcBorders>
              <w:top w:val="single" w:sz="2" w:space="0" w:color="000000"/>
              <w:left w:val="single" w:sz="2" w:space="0" w:color="000000"/>
              <w:bottom w:val="single" w:sz="2" w:space="0" w:color="000000"/>
              <w:right w:val="single" w:sz="2" w:space="0" w:color="000000"/>
            </w:tcBorders>
            <w:hideMark/>
          </w:tcPr>
          <w:p w14:paraId="581F49D2" w14:textId="77777777" w:rsidR="00701496" w:rsidRPr="00701496" w:rsidRDefault="00701496">
            <w:pPr>
              <w:spacing w:line="256" w:lineRule="auto"/>
              <w:ind w:left="77" w:firstLine="115"/>
              <w:jc w:val="center"/>
              <w:rPr>
                <w:rFonts w:ascii="Century Gothic" w:hAnsi="Century Gothic"/>
                <w:sz w:val="20"/>
                <w:szCs w:val="20"/>
                <w:lang w:val="pl-PL"/>
              </w:rPr>
            </w:pPr>
            <w:r w:rsidRPr="00701496">
              <w:rPr>
                <w:rFonts w:ascii="Century Gothic" w:hAnsi="Century Gothic"/>
                <w:sz w:val="20"/>
                <w:szCs w:val="20"/>
                <w:lang w:val="pl-PL"/>
              </w:rPr>
              <w:t>Maksymalny poziom mocy akustycznej urządzenia (</w:t>
            </w:r>
            <w:proofErr w:type="spellStart"/>
            <w:r w:rsidRPr="00701496">
              <w:rPr>
                <w:rFonts w:ascii="Century Gothic" w:hAnsi="Century Gothic"/>
                <w:sz w:val="20"/>
                <w:szCs w:val="20"/>
                <w:lang w:val="pl-PL"/>
              </w:rPr>
              <w:t>dB</w:t>
            </w:r>
            <w:proofErr w:type="spellEnd"/>
            <w:r w:rsidRPr="00701496">
              <w:rPr>
                <w:rFonts w:ascii="Century Gothic" w:hAnsi="Century Gothic"/>
                <w:sz w:val="20"/>
                <w:szCs w:val="20"/>
                <w:lang w:val="pl-PL"/>
              </w:rPr>
              <w:t>)</w:t>
            </w:r>
          </w:p>
        </w:tc>
      </w:tr>
      <w:tr w:rsidR="00701496" w14:paraId="26CB9438" w14:textId="77777777">
        <w:trPr>
          <w:trHeight w:val="301"/>
        </w:trPr>
        <w:tc>
          <w:tcPr>
            <w:tcW w:w="541" w:type="dxa"/>
            <w:tcBorders>
              <w:top w:val="single" w:sz="2" w:space="0" w:color="000000"/>
              <w:left w:val="single" w:sz="2" w:space="0" w:color="000000"/>
              <w:bottom w:val="single" w:sz="2" w:space="0" w:color="000000"/>
              <w:right w:val="single" w:sz="2" w:space="0" w:color="000000"/>
            </w:tcBorders>
            <w:hideMark/>
          </w:tcPr>
          <w:p w14:paraId="51004550" w14:textId="77777777" w:rsidR="00701496" w:rsidRDefault="00701496">
            <w:pPr>
              <w:spacing w:line="256" w:lineRule="auto"/>
              <w:ind w:left="19"/>
              <w:rPr>
                <w:rFonts w:ascii="Century Gothic" w:hAnsi="Century Gothic"/>
                <w:sz w:val="20"/>
                <w:szCs w:val="20"/>
              </w:rPr>
            </w:pPr>
            <w:r>
              <w:rPr>
                <w:rFonts w:ascii="Century Gothic" w:hAnsi="Century Gothic"/>
                <w:sz w:val="20"/>
                <w:szCs w:val="20"/>
              </w:rPr>
              <w:t>1</w:t>
            </w:r>
          </w:p>
        </w:tc>
        <w:tc>
          <w:tcPr>
            <w:tcW w:w="4874" w:type="dxa"/>
            <w:tcBorders>
              <w:top w:val="single" w:sz="2" w:space="0" w:color="000000"/>
              <w:left w:val="single" w:sz="2" w:space="0" w:color="000000"/>
              <w:bottom w:val="single" w:sz="2" w:space="0" w:color="000000"/>
              <w:right w:val="single" w:sz="2" w:space="0" w:color="000000"/>
            </w:tcBorders>
            <w:hideMark/>
          </w:tcPr>
          <w:p w14:paraId="126FE55B" w14:textId="77777777" w:rsidR="00701496" w:rsidRDefault="00701496">
            <w:pPr>
              <w:spacing w:line="256" w:lineRule="auto"/>
              <w:ind w:left="7"/>
              <w:rPr>
                <w:rFonts w:ascii="Century Gothic" w:hAnsi="Century Gothic"/>
                <w:sz w:val="20"/>
                <w:szCs w:val="20"/>
              </w:rPr>
            </w:pPr>
            <w:proofErr w:type="spellStart"/>
            <w:r>
              <w:rPr>
                <w:rFonts w:ascii="Century Gothic" w:hAnsi="Century Gothic"/>
                <w:sz w:val="20"/>
                <w:szCs w:val="20"/>
              </w:rPr>
              <w:t>wentylator</w:t>
            </w:r>
            <w:proofErr w:type="spellEnd"/>
            <w:r>
              <w:rPr>
                <w:rFonts w:ascii="Century Gothic" w:hAnsi="Century Gothic"/>
                <w:sz w:val="20"/>
                <w:szCs w:val="20"/>
              </w:rPr>
              <w:t xml:space="preserve"> </w:t>
            </w:r>
            <w:proofErr w:type="spellStart"/>
            <w:r>
              <w:rPr>
                <w:rFonts w:ascii="Century Gothic" w:hAnsi="Century Gothic"/>
                <w:sz w:val="20"/>
                <w:szCs w:val="20"/>
              </w:rPr>
              <w:t>dachowy</w:t>
            </w:r>
            <w:proofErr w:type="spellEnd"/>
            <w:r>
              <w:rPr>
                <w:rFonts w:ascii="Century Gothic" w:hAnsi="Century Gothic"/>
                <w:sz w:val="20"/>
                <w:szCs w:val="20"/>
              </w:rPr>
              <w:t xml:space="preserve"> </w:t>
            </w:r>
            <w:proofErr w:type="spellStart"/>
            <w:r>
              <w:rPr>
                <w:rFonts w:ascii="Century Gothic" w:hAnsi="Century Gothic"/>
                <w:sz w:val="20"/>
                <w:szCs w:val="20"/>
              </w:rPr>
              <w:t>wyciągowy</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69BE9EFC" w14:textId="77777777" w:rsidR="00701496" w:rsidRDefault="00701496">
            <w:pPr>
              <w:spacing w:line="256" w:lineRule="auto"/>
              <w:ind w:right="5"/>
              <w:jc w:val="center"/>
              <w:rPr>
                <w:rFonts w:ascii="Century Gothic" w:hAnsi="Century Gothic"/>
                <w:sz w:val="20"/>
                <w:szCs w:val="20"/>
              </w:rPr>
            </w:pPr>
            <w:r>
              <w:rPr>
                <w:rFonts w:ascii="Century Gothic" w:hAnsi="Century Gothic"/>
                <w:sz w:val="20"/>
                <w:szCs w:val="20"/>
              </w:rPr>
              <w:t>44</w:t>
            </w:r>
          </w:p>
        </w:tc>
        <w:tc>
          <w:tcPr>
            <w:tcW w:w="1496" w:type="dxa"/>
            <w:tcBorders>
              <w:top w:val="single" w:sz="2" w:space="0" w:color="000000"/>
              <w:left w:val="single" w:sz="2" w:space="0" w:color="000000"/>
              <w:bottom w:val="single" w:sz="2" w:space="0" w:color="000000"/>
              <w:right w:val="single" w:sz="2" w:space="0" w:color="000000"/>
            </w:tcBorders>
            <w:hideMark/>
          </w:tcPr>
          <w:p w14:paraId="50E61BF6"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80</w:t>
            </w:r>
          </w:p>
        </w:tc>
      </w:tr>
      <w:tr w:rsidR="00701496" w14:paraId="4E0EFF93" w14:textId="77777777">
        <w:trPr>
          <w:trHeight w:val="495"/>
        </w:trPr>
        <w:tc>
          <w:tcPr>
            <w:tcW w:w="541" w:type="dxa"/>
            <w:tcBorders>
              <w:top w:val="single" w:sz="2" w:space="0" w:color="000000"/>
              <w:left w:val="single" w:sz="2" w:space="0" w:color="000000"/>
              <w:bottom w:val="single" w:sz="2" w:space="0" w:color="000000"/>
              <w:right w:val="single" w:sz="2" w:space="0" w:color="000000"/>
            </w:tcBorders>
            <w:hideMark/>
          </w:tcPr>
          <w:p w14:paraId="6B01F8BD" w14:textId="77777777" w:rsidR="00701496" w:rsidRDefault="00701496">
            <w:pPr>
              <w:spacing w:line="256" w:lineRule="auto"/>
              <w:ind w:left="10"/>
              <w:rPr>
                <w:rFonts w:ascii="Century Gothic" w:hAnsi="Century Gothic"/>
                <w:sz w:val="20"/>
                <w:szCs w:val="20"/>
              </w:rPr>
            </w:pPr>
            <w:r>
              <w:rPr>
                <w:rFonts w:ascii="Century Gothic" w:hAnsi="Century Gothic"/>
                <w:sz w:val="20"/>
                <w:szCs w:val="20"/>
              </w:rPr>
              <w:t>2</w:t>
            </w:r>
          </w:p>
        </w:tc>
        <w:tc>
          <w:tcPr>
            <w:tcW w:w="4874" w:type="dxa"/>
            <w:tcBorders>
              <w:top w:val="single" w:sz="2" w:space="0" w:color="000000"/>
              <w:left w:val="single" w:sz="2" w:space="0" w:color="000000"/>
              <w:bottom w:val="single" w:sz="2" w:space="0" w:color="000000"/>
              <w:right w:val="single" w:sz="2" w:space="0" w:color="000000"/>
            </w:tcBorders>
            <w:hideMark/>
          </w:tcPr>
          <w:p w14:paraId="45B0670B" w14:textId="77777777" w:rsidR="00701496" w:rsidRPr="00701496" w:rsidRDefault="00701496">
            <w:pPr>
              <w:spacing w:line="256" w:lineRule="auto"/>
              <w:ind w:left="126" w:hanging="115"/>
              <w:rPr>
                <w:rFonts w:ascii="Century Gothic" w:hAnsi="Century Gothic"/>
                <w:sz w:val="20"/>
                <w:szCs w:val="20"/>
                <w:lang w:val="pl-PL"/>
              </w:rPr>
            </w:pPr>
            <w:r w:rsidRPr="00701496">
              <w:rPr>
                <w:rFonts w:ascii="Century Gothic" w:hAnsi="Century Gothic"/>
                <w:sz w:val="20"/>
                <w:szCs w:val="20"/>
                <w:lang w:val="pl-PL"/>
              </w:rPr>
              <w:t>centrala wentylacyjna opcjonalnie z nagrzewnicą gazową do 60 kW</w:t>
            </w:r>
          </w:p>
        </w:tc>
        <w:tc>
          <w:tcPr>
            <w:tcW w:w="1579" w:type="dxa"/>
            <w:tcBorders>
              <w:top w:val="single" w:sz="2" w:space="0" w:color="000000"/>
              <w:left w:val="single" w:sz="2" w:space="0" w:color="000000"/>
              <w:bottom w:val="single" w:sz="2" w:space="0" w:color="000000"/>
              <w:right w:val="single" w:sz="2" w:space="0" w:color="000000"/>
            </w:tcBorders>
            <w:vAlign w:val="center"/>
            <w:hideMark/>
          </w:tcPr>
          <w:p w14:paraId="1B6DD88E" w14:textId="77777777" w:rsidR="00701496" w:rsidRDefault="00701496">
            <w:pPr>
              <w:spacing w:line="256" w:lineRule="auto"/>
              <w:jc w:val="center"/>
              <w:rPr>
                <w:rFonts w:ascii="Century Gothic" w:hAnsi="Century Gothic"/>
                <w:sz w:val="20"/>
                <w:szCs w:val="20"/>
              </w:rPr>
            </w:pPr>
            <w:r>
              <w:rPr>
                <w:rFonts w:ascii="Century Gothic" w:hAnsi="Century Gothic"/>
                <w:sz w:val="20"/>
                <w:szCs w:val="20"/>
              </w:rPr>
              <w:t>24</w:t>
            </w:r>
          </w:p>
        </w:tc>
        <w:tc>
          <w:tcPr>
            <w:tcW w:w="1496" w:type="dxa"/>
            <w:tcBorders>
              <w:top w:val="single" w:sz="2" w:space="0" w:color="000000"/>
              <w:left w:val="single" w:sz="2" w:space="0" w:color="000000"/>
              <w:bottom w:val="single" w:sz="2" w:space="0" w:color="000000"/>
              <w:right w:val="single" w:sz="2" w:space="0" w:color="000000"/>
            </w:tcBorders>
            <w:vAlign w:val="center"/>
            <w:hideMark/>
          </w:tcPr>
          <w:p w14:paraId="601984F8" w14:textId="77777777" w:rsidR="00701496" w:rsidRDefault="00701496">
            <w:pPr>
              <w:spacing w:line="256" w:lineRule="auto"/>
              <w:ind w:left="11"/>
              <w:jc w:val="center"/>
              <w:rPr>
                <w:rFonts w:ascii="Century Gothic" w:hAnsi="Century Gothic"/>
                <w:sz w:val="20"/>
                <w:szCs w:val="20"/>
              </w:rPr>
            </w:pPr>
            <w:r>
              <w:rPr>
                <w:rFonts w:ascii="Century Gothic" w:hAnsi="Century Gothic"/>
                <w:sz w:val="20"/>
                <w:szCs w:val="20"/>
              </w:rPr>
              <w:t>80</w:t>
            </w:r>
          </w:p>
        </w:tc>
      </w:tr>
      <w:tr w:rsidR="00701496" w14:paraId="2B7BA9CD" w14:textId="77777777">
        <w:trPr>
          <w:trHeight w:val="254"/>
        </w:trPr>
        <w:tc>
          <w:tcPr>
            <w:tcW w:w="541" w:type="dxa"/>
            <w:tcBorders>
              <w:top w:val="single" w:sz="2" w:space="0" w:color="000000"/>
              <w:left w:val="single" w:sz="2" w:space="0" w:color="000000"/>
              <w:bottom w:val="single" w:sz="2" w:space="0" w:color="000000"/>
              <w:right w:val="single" w:sz="2" w:space="0" w:color="000000"/>
            </w:tcBorders>
            <w:hideMark/>
          </w:tcPr>
          <w:p w14:paraId="306F904E" w14:textId="77777777" w:rsidR="00701496" w:rsidRDefault="00701496">
            <w:pPr>
              <w:spacing w:line="256" w:lineRule="auto"/>
              <w:ind w:left="10"/>
              <w:rPr>
                <w:rFonts w:ascii="Century Gothic" w:hAnsi="Century Gothic"/>
                <w:sz w:val="20"/>
                <w:szCs w:val="20"/>
              </w:rPr>
            </w:pPr>
            <w:r>
              <w:rPr>
                <w:rFonts w:ascii="Century Gothic" w:hAnsi="Century Gothic"/>
                <w:sz w:val="20"/>
                <w:szCs w:val="20"/>
              </w:rPr>
              <w:t>3</w:t>
            </w:r>
          </w:p>
        </w:tc>
        <w:tc>
          <w:tcPr>
            <w:tcW w:w="4874" w:type="dxa"/>
            <w:tcBorders>
              <w:top w:val="single" w:sz="2" w:space="0" w:color="000000"/>
              <w:left w:val="single" w:sz="2" w:space="0" w:color="000000"/>
              <w:bottom w:val="single" w:sz="2" w:space="0" w:color="000000"/>
              <w:right w:val="single" w:sz="2" w:space="0" w:color="000000"/>
            </w:tcBorders>
            <w:hideMark/>
          </w:tcPr>
          <w:p w14:paraId="42FFDB60" w14:textId="77777777" w:rsidR="00701496" w:rsidRDefault="00701496">
            <w:pPr>
              <w:spacing w:line="256" w:lineRule="auto"/>
              <w:ind w:left="16"/>
              <w:rPr>
                <w:rFonts w:ascii="Century Gothic" w:hAnsi="Century Gothic"/>
                <w:sz w:val="20"/>
                <w:szCs w:val="20"/>
              </w:rPr>
            </w:pPr>
            <w:proofErr w:type="spellStart"/>
            <w:r>
              <w:rPr>
                <w:rFonts w:ascii="Century Gothic" w:hAnsi="Century Gothic"/>
                <w:sz w:val="20"/>
                <w:szCs w:val="20"/>
              </w:rPr>
              <w:t>urządzenie</w:t>
            </w:r>
            <w:proofErr w:type="spellEnd"/>
            <w:r>
              <w:rPr>
                <w:rFonts w:ascii="Century Gothic" w:hAnsi="Century Gothic"/>
                <w:sz w:val="20"/>
                <w:szCs w:val="20"/>
              </w:rPr>
              <w:t xml:space="preserve"> </w:t>
            </w:r>
            <w:proofErr w:type="spellStart"/>
            <w:r>
              <w:rPr>
                <w:rFonts w:ascii="Century Gothic" w:hAnsi="Century Gothic"/>
                <w:sz w:val="20"/>
                <w:szCs w:val="20"/>
              </w:rPr>
              <w:t>chłodnicze</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6C8FBFF3" w14:textId="77777777" w:rsidR="00701496" w:rsidRDefault="00701496">
            <w:pPr>
              <w:spacing w:line="256" w:lineRule="auto"/>
              <w:ind w:left="10"/>
              <w:jc w:val="center"/>
              <w:rPr>
                <w:rFonts w:ascii="Century Gothic" w:hAnsi="Century Gothic"/>
                <w:sz w:val="20"/>
                <w:szCs w:val="20"/>
              </w:rPr>
            </w:pPr>
            <w:r>
              <w:rPr>
                <w:rFonts w:ascii="Century Gothic" w:hAnsi="Century Gothic"/>
                <w:sz w:val="20"/>
                <w:szCs w:val="20"/>
              </w:rPr>
              <w:t>56</w:t>
            </w:r>
          </w:p>
        </w:tc>
        <w:tc>
          <w:tcPr>
            <w:tcW w:w="1496" w:type="dxa"/>
            <w:tcBorders>
              <w:top w:val="single" w:sz="2" w:space="0" w:color="000000"/>
              <w:left w:val="single" w:sz="2" w:space="0" w:color="000000"/>
              <w:bottom w:val="single" w:sz="2" w:space="0" w:color="000000"/>
              <w:right w:val="single" w:sz="2" w:space="0" w:color="000000"/>
            </w:tcBorders>
            <w:hideMark/>
          </w:tcPr>
          <w:p w14:paraId="61C3B174" w14:textId="77777777" w:rsidR="00701496" w:rsidRDefault="00701496">
            <w:pPr>
              <w:spacing w:line="256" w:lineRule="auto"/>
              <w:ind w:left="11"/>
              <w:jc w:val="center"/>
              <w:rPr>
                <w:rFonts w:ascii="Century Gothic" w:hAnsi="Century Gothic"/>
                <w:sz w:val="20"/>
                <w:szCs w:val="20"/>
              </w:rPr>
            </w:pPr>
            <w:r>
              <w:rPr>
                <w:rFonts w:ascii="Century Gothic" w:hAnsi="Century Gothic"/>
                <w:sz w:val="20"/>
                <w:szCs w:val="20"/>
              </w:rPr>
              <w:t>75</w:t>
            </w:r>
          </w:p>
        </w:tc>
      </w:tr>
      <w:tr w:rsidR="00701496" w14:paraId="0BE85225" w14:textId="77777777">
        <w:trPr>
          <w:trHeight w:val="280"/>
        </w:trPr>
        <w:tc>
          <w:tcPr>
            <w:tcW w:w="541" w:type="dxa"/>
            <w:tcBorders>
              <w:top w:val="single" w:sz="2" w:space="0" w:color="000000"/>
              <w:left w:val="single" w:sz="2" w:space="0" w:color="000000"/>
              <w:bottom w:val="single" w:sz="2" w:space="0" w:color="000000"/>
              <w:right w:val="single" w:sz="2" w:space="0" w:color="000000"/>
            </w:tcBorders>
            <w:hideMark/>
          </w:tcPr>
          <w:p w14:paraId="422DDE36" w14:textId="77777777" w:rsidR="00701496" w:rsidRDefault="00701496">
            <w:pPr>
              <w:spacing w:line="256" w:lineRule="auto"/>
              <w:rPr>
                <w:rFonts w:ascii="Century Gothic" w:hAnsi="Century Gothic"/>
                <w:sz w:val="20"/>
                <w:szCs w:val="20"/>
              </w:rPr>
            </w:pPr>
            <w:r>
              <w:rPr>
                <w:rFonts w:ascii="Century Gothic" w:hAnsi="Century Gothic"/>
                <w:sz w:val="20"/>
                <w:szCs w:val="20"/>
              </w:rPr>
              <w:t>4</w:t>
            </w:r>
          </w:p>
        </w:tc>
        <w:tc>
          <w:tcPr>
            <w:tcW w:w="4874" w:type="dxa"/>
            <w:tcBorders>
              <w:top w:val="single" w:sz="2" w:space="0" w:color="000000"/>
              <w:left w:val="single" w:sz="2" w:space="0" w:color="000000"/>
              <w:bottom w:val="single" w:sz="2" w:space="0" w:color="000000"/>
              <w:right w:val="single" w:sz="2" w:space="0" w:color="000000"/>
            </w:tcBorders>
            <w:hideMark/>
          </w:tcPr>
          <w:p w14:paraId="74B2950E" w14:textId="77777777" w:rsidR="00701496" w:rsidRDefault="00701496">
            <w:pPr>
              <w:spacing w:line="256" w:lineRule="auto"/>
              <w:ind w:left="2"/>
              <w:rPr>
                <w:rFonts w:ascii="Century Gothic" w:hAnsi="Century Gothic"/>
                <w:sz w:val="20"/>
                <w:szCs w:val="20"/>
              </w:rPr>
            </w:pPr>
            <w:proofErr w:type="spellStart"/>
            <w:r>
              <w:rPr>
                <w:rFonts w:ascii="Century Gothic" w:hAnsi="Century Gothic"/>
                <w:sz w:val="20"/>
                <w:szCs w:val="20"/>
              </w:rPr>
              <w:t>wentylator</w:t>
            </w:r>
            <w:proofErr w:type="spellEnd"/>
            <w:r>
              <w:rPr>
                <w:rFonts w:ascii="Century Gothic" w:hAnsi="Century Gothic"/>
                <w:sz w:val="20"/>
                <w:szCs w:val="20"/>
              </w:rPr>
              <w:t xml:space="preserve"> </w:t>
            </w:r>
            <w:proofErr w:type="spellStart"/>
            <w:r>
              <w:rPr>
                <w:rFonts w:ascii="Century Gothic" w:hAnsi="Century Gothic"/>
                <w:sz w:val="20"/>
                <w:szCs w:val="20"/>
              </w:rPr>
              <w:t>dachowy</w:t>
            </w:r>
            <w:proofErr w:type="spellEnd"/>
            <w:r>
              <w:rPr>
                <w:rFonts w:ascii="Century Gothic" w:hAnsi="Century Gothic"/>
                <w:sz w:val="20"/>
                <w:szCs w:val="20"/>
              </w:rPr>
              <w:t xml:space="preserve"> </w:t>
            </w:r>
            <w:proofErr w:type="spellStart"/>
            <w:r>
              <w:rPr>
                <w:rFonts w:ascii="Century Gothic" w:hAnsi="Century Gothic"/>
                <w:sz w:val="20"/>
                <w:szCs w:val="20"/>
              </w:rPr>
              <w:t>wyciągowy</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020D3951" w14:textId="77777777" w:rsidR="00701496" w:rsidRDefault="00701496">
            <w:pPr>
              <w:spacing w:line="256" w:lineRule="auto"/>
              <w:ind w:left="10"/>
              <w:jc w:val="center"/>
              <w:rPr>
                <w:rFonts w:ascii="Century Gothic" w:hAnsi="Century Gothic"/>
                <w:sz w:val="20"/>
                <w:szCs w:val="20"/>
              </w:rPr>
            </w:pPr>
            <w:r>
              <w:rPr>
                <w:rFonts w:ascii="Century Gothic" w:hAnsi="Century Gothic"/>
                <w:sz w:val="20"/>
                <w:szCs w:val="20"/>
              </w:rPr>
              <w:t>32</w:t>
            </w:r>
          </w:p>
        </w:tc>
        <w:tc>
          <w:tcPr>
            <w:tcW w:w="1496" w:type="dxa"/>
            <w:tcBorders>
              <w:top w:val="single" w:sz="2" w:space="0" w:color="000000"/>
              <w:left w:val="single" w:sz="2" w:space="0" w:color="000000"/>
              <w:bottom w:val="single" w:sz="2" w:space="0" w:color="000000"/>
              <w:right w:val="single" w:sz="2" w:space="0" w:color="000000"/>
            </w:tcBorders>
            <w:hideMark/>
          </w:tcPr>
          <w:p w14:paraId="505C9C63" w14:textId="77777777" w:rsidR="00701496" w:rsidRDefault="00701496">
            <w:pPr>
              <w:spacing w:line="256" w:lineRule="auto"/>
              <w:ind w:left="11"/>
              <w:jc w:val="center"/>
              <w:rPr>
                <w:rFonts w:ascii="Century Gothic" w:hAnsi="Century Gothic"/>
                <w:sz w:val="20"/>
                <w:szCs w:val="20"/>
              </w:rPr>
            </w:pPr>
            <w:r>
              <w:rPr>
                <w:rFonts w:ascii="Century Gothic" w:hAnsi="Century Gothic"/>
                <w:sz w:val="20"/>
                <w:szCs w:val="20"/>
              </w:rPr>
              <w:t>75</w:t>
            </w:r>
          </w:p>
        </w:tc>
      </w:tr>
      <w:tr w:rsidR="00701496" w14:paraId="3242CA12" w14:textId="77777777">
        <w:trPr>
          <w:trHeight w:val="277"/>
        </w:trPr>
        <w:tc>
          <w:tcPr>
            <w:tcW w:w="541" w:type="dxa"/>
            <w:tcBorders>
              <w:top w:val="single" w:sz="2" w:space="0" w:color="000000"/>
              <w:left w:val="single" w:sz="2" w:space="0" w:color="000000"/>
              <w:bottom w:val="single" w:sz="2" w:space="0" w:color="000000"/>
              <w:right w:val="single" w:sz="2" w:space="0" w:color="000000"/>
            </w:tcBorders>
            <w:hideMark/>
          </w:tcPr>
          <w:p w14:paraId="6AA40731" w14:textId="77777777" w:rsidR="00701496" w:rsidRDefault="00701496">
            <w:pPr>
              <w:spacing w:line="256" w:lineRule="auto"/>
              <w:ind w:left="10"/>
              <w:rPr>
                <w:rFonts w:ascii="Century Gothic" w:hAnsi="Century Gothic"/>
                <w:sz w:val="20"/>
                <w:szCs w:val="20"/>
              </w:rPr>
            </w:pPr>
            <w:r>
              <w:rPr>
                <w:rFonts w:ascii="Century Gothic" w:hAnsi="Century Gothic"/>
                <w:sz w:val="20"/>
                <w:szCs w:val="20"/>
              </w:rPr>
              <w:t>5</w:t>
            </w:r>
          </w:p>
        </w:tc>
        <w:tc>
          <w:tcPr>
            <w:tcW w:w="4874" w:type="dxa"/>
            <w:tcBorders>
              <w:top w:val="single" w:sz="2" w:space="0" w:color="000000"/>
              <w:left w:val="single" w:sz="2" w:space="0" w:color="000000"/>
              <w:bottom w:val="single" w:sz="2" w:space="0" w:color="000000"/>
              <w:right w:val="single" w:sz="2" w:space="0" w:color="000000"/>
            </w:tcBorders>
            <w:hideMark/>
          </w:tcPr>
          <w:p w14:paraId="31B4D405" w14:textId="77777777" w:rsidR="00701496" w:rsidRDefault="00701496">
            <w:pPr>
              <w:spacing w:line="256" w:lineRule="auto"/>
              <w:ind w:left="2"/>
              <w:rPr>
                <w:rFonts w:ascii="Century Gothic" w:hAnsi="Century Gothic"/>
                <w:sz w:val="20"/>
                <w:szCs w:val="20"/>
              </w:rPr>
            </w:pPr>
            <w:proofErr w:type="spellStart"/>
            <w:r>
              <w:rPr>
                <w:rFonts w:ascii="Century Gothic" w:hAnsi="Century Gothic"/>
                <w:sz w:val="20"/>
                <w:szCs w:val="20"/>
              </w:rPr>
              <w:t>wentylator</w:t>
            </w:r>
            <w:proofErr w:type="spellEnd"/>
            <w:r>
              <w:rPr>
                <w:rFonts w:ascii="Century Gothic" w:hAnsi="Century Gothic"/>
                <w:sz w:val="20"/>
                <w:szCs w:val="20"/>
              </w:rPr>
              <w:t xml:space="preserve"> </w:t>
            </w:r>
            <w:proofErr w:type="spellStart"/>
            <w:r>
              <w:rPr>
                <w:rFonts w:ascii="Century Gothic" w:hAnsi="Century Gothic"/>
                <w:sz w:val="20"/>
                <w:szCs w:val="20"/>
              </w:rPr>
              <w:t>dachowy</w:t>
            </w:r>
            <w:proofErr w:type="spellEnd"/>
            <w:r>
              <w:rPr>
                <w:rFonts w:ascii="Century Gothic" w:hAnsi="Century Gothic"/>
                <w:sz w:val="20"/>
                <w:szCs w:val="20"/>
              </w:rPr>
              <w:t xml:space="preserve"> </w:t>
            </w:r>
            <w:proofErr w:type="spellStart"/>
            <w:r>
              <w:rPr>
                <w:rFonts w:ascii="Century Gothic" w:hAnsi="Century Gothic"/>
                <w:sz w:val="20"/>
                <w:szCs w:val="20"/>
              </w:rPr>
              <w:t>wyciągowy</w:t>
            </w:r>
            <w:proofErr w:type="spellEnd"/>
            <w:r>
              <w:rPr>
                <w:rFonts w:ascii="Century Gothic" w:hAnsi="Century Gothic"/>
                <w:sz w:val="20"/>
                <w:szCs w:val="20"/>
              </w:rPr>
              <w:t xml:space="preserve"> EX</w:t>
            </w:r>
          </w:p>
        </w:tc>
        <w:tc>
          <w:tcPr>
            <w:tcW w:w="1579" w:type="dxa"/>
            <w:tcBorders>
              <w:top w:val="single" w:sz="2" w:space="0" w:color="000000"/>
              <w:left w:val="single" w:sz="2" w:space="0" w:color="000000"/>
              <w:bottom w:val="single" w:sz="2" w:space="0" w:color="000000"/>
              <w:right w:val="single" w:sz="2" w:space="0" w:color="000000"/>
            </w:tcBorders>
            <w:hideMark/>
          </w:tcPr>
          <w:p w14:paraId="013688E8" w14:textId="77777777" w:rsidR="00701496" w:rsidRDefault="00701496">
            <w:pPr>
              <w:spacing w:line="256" w:lineRule="auto"/>
              <w:jc w:val="center"/>
              <w:rPr>
                <w:rFonts w:ascii="Century Gothic" w:hAnsi="Century Gothic"/>
                <w:sz w:val="20"/>
                <w:szCs w:val="20"/>
              </w:rPr>
            </w:pPr>
            <w:r>
              <w:rPr>
                <w:rFonts w:ascii="Century Gothic" w:hAnsi="Century Gothic"/>
                <w:sz w:val="20"/>
                <w:szCs w:val="20"/>
              </w:rPr>
              <w:t>24</w:t>
            </w:r>
          </w:p>
        </w:tc>
        <w:tc>
          <w:tcPr>
            <w:tcW w:w="1496" w:type="dxa"/>
            <w:tcBorders>
              <w:top w:val="single" w:sz="2" w:space="0" w:color="000000"/>
              <w:left w:val="single" w:sz="2" w:space="0" w:color="000000"/>
              <w:bottom w:val="single" w:sz="2" w:space="0" w:color="000000"/>
              <w:right w:val="single" w:sz="2" w:space="0" w:color="000000"/>
            </w:tcBorders>
            <w:hideMark/>
          </w:tcPr>
          <w:p w14:paraId="242ECB87"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80</w:t>
            </w:r>
          </w:p>
        </w:tc>
      </w:tr>
      <w:tr w:rsidR="00701496" w14:paraId="1469C6B0" w14:textId="77777777">
        <w:trPr>
          <w:trHeight w:val="280"/>
        </w:trPr>
        <w:tc>
          <w:tcPr>
            <w:tcW w:w="541" w:type="dxa"/>
            <w:tcBorders>
              <w:top w:val="single" w:sz="2" w:space="0" w:color="000000"/>
              <w:left w:val="single" w:sz="2" w:space="0" w:color="000000"/>
              <w:bottom w:val="single" w:sz="2" w:space="0" w:color="000000"/>
              <w:right w:val="single" w:sz="2" w:space="0" w:color="000000"/>
            </w:tcBorders>
            <w:hideMark/>
          </w:tcPr>
          <w:p w14:paraId="474ED337" w14:textId="77777777" w:rsidR="00701496" w:rsidRDefault="00701496">
            <w:pPr>
              <w:spacing w:line="256" w:lineRule="auto"/>
              <w:ind w:left="10"/>
              <w:rPr>
                <w:rFonts w:ascii="Century Gothic" w:hAnsi="Century Gothic"/>
                <w:sz w:val="20"/>
                <w:szCs w:val="20"/>
              </w:rPr>
            </w:pPr>
            <w:r>
              <w:rPr>
                <w:rFonts w:ascii="Century Gothic" w:hAnsi="Century Gothic"/>
                <w:sz w:val="20"/>
                <w:szCs w:val="20"/>
              </w:rPr>
              <w:t>6</w:t>
            </w:r>
          </w:p>
        </w:tc>
        <w:tc>
          <w:tcPr>
            <w:tcW w:w="4874" w:type="dxa"/>
            <w:tcBorders>
              <w:top w:val="single" w:sz="2" w:space="0" w:color="000000"/>
              <w:left w:val="single" w:sz="2" w:space="0" w:color="000000"/>
              <w:bottom w:val="single" w:sz="2" w:space="0" w:color="000000"/>
              <w:right w:val="single" w:sz="2" w:space="0" w:color="000000"/>
            </w:tcBorders>
            <w:hideMark/>
          </w:tcPr>
          <w:p w14:paraId="3609CFCB" w14:textId="77777777" w:rsidR="00701496" w:rsidRDefault="00701496">
            <w:pPr>
              <w:spacing w:line="256" w:lineRule="auto"/>
              <w:ind w:left="7"/>
              <w:rPr>
                <w:rFonts w:ascii="Century Gothic" w:hAnsi="Century Gothic"/>
                <w:sz w:val="20"/>
                <w:szCs w:val="20"/>
              </w:rPr>
            </w:pPr>
            <w:proofErr w:type="spellStart"/>
            <w:r>
              <w:rPr>
                <w:rFonts w:ascii="Century Gothic" w:hAnsi="Century Gothic"/>
                <w:sz w:val="20"/>
                <w:szCs w:val="20"/>
              </w:rPr>
              <w:t>wentylator</w:t>
            </w:r>
            <w:proofErr w:type="spellEnd"/>
            <w:r>
              <w:rPr>
                <w:rFonts w:ascii="Century Gothic" w:hAnsi="Century Gothic"/>
                <w:sz w:val="20"/>
                <w:szCs w:val="20"/>
              </w:rPr>
              <w:t xml:space="preserve"> </w:t>
            </w:r>
            <w:proofErr w:type="spellStart"/>
            <w:r>
              <w:rPr>
                <w:rFonts w:ascii="Century Gothic" w:hAnsi="Century Gothic"/>
                <w:sz w:val="20"/>
                <w:szCs w:val="20"/>
              </w:rPr>
              <w:t>ścienny</w:t>
            </w:r>
            <w:proofErr w:type="spellEnd"/>
            <w:r>
              <w:rPr>
                <w:rFonts w:ascii="Century Gothic" w:hAnsi="Century Gothic"/>
                <w:sz w:val="20"/>
                <w:szCs w:val="20"/>
              </w:rPr>
              <w:t xml:space="preserve"> </w:t>
            </w:r>
            <w:proofErr w:type="spellStart"/>
            <w:r>
              <w:rPr>
                <w:rFonts w:ascii="Century Gothic" w:hAnsi="Century Gothic"/>
                <w:sz w:val="20"/>
                <w:szCs w:val="20"/>
              </w:rPr>
              <w:t>wyciągowy</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317562A2" w14:textId="77777777" w:rsidR="00701496" w:rsidRDefault="00701496">
            <w:pPr>
              <w:spacing w:line="256" w:lineRule="auto"/>
              <w:ind w:left="19"/>
              <w:jc w:val="center"/>
              <w:rPr>
                <w:rFonts w:ascii="Century Gothic" w:hAnsi="Century Gothic"/>
                <w:sz w:val="20"/>
                <w:szCs w:val="20"/>
              </w:rPr>
            </w:pPr>
            <w:r>
              <w:rPr>
                <w:rFonts w:ascii="Century Gothic" w:hAnsi="Century Gothic"/>
                <w:sz w:val="20"/>
                <w:szCs w:val="20"/>
              </w:rPr>
              <w:t>12</w:t>
            </w:r>
          </w:p>
        </w:tc>
        <w:tc>
          <w:tcPr>
            <w:tcW w:w="1496" w:type="dxa"/>
            <w:tcBorders>
              <w:top w:val="single" w:sz="2" w:space="0" w:color="000000"/>
              <w:left w:val="single" w:sz="2" w:space="0" w:color="000000"/>
              <w:bottom w:val="single" w:sz="2" w:space="0" w:color="000000"/>
              <w:right w:val="single" w:sz="2" w:space="0" w:color="000000"/>
            </w:tcBorders>
            <w:hideMark/>
          </w:tcPr>
          <w:p w14:paraId="7F55AA0E"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80</w:t>
            </w:r>
          </w:p>
        </w:tc>
      </w:tr>
      <w:tr w:rsidR="00701496" w14:paraId="10D8713F" w14:textId="77777777">
        <w:trPr>
          <w:trHeight w:val="283"/>
        </w:trPr>
        <w:tc>
          <w:tcPr>
            <w:tcW w:w="541" w:type="dxa"/>
            <w:tcBorders>
              <w:top w:val="single" w:sz="2" w:space="0" w:color="000000"/>
              <w:left w:val="single" w:sz="2" w:space="0" w:color="000000"/>
              <w:bottom w:val="single" w:sz="2" w:space="0" w:color="000000"/>
              <w:right w:val="single" w:sz="2" w:space="0" w:color="000000"/>
            </w:tcBorders>
            <w:hideMark/>
          </w:tcPr>
          <w:p w14:paraId="38F7FB1F" w14:textId="77777777" w:rsidR="00701496" w:rsidRDefault="00701496">
            <w:pPr>
              <w:spacing w:line="256" w:lineRule="auto"/>
              <w:rPr>
                <w:rFonts w:ascii="Century Gothic" w:hAnsi="Century Gothic"/>
                <w:sz w:val="20"/>
                <w:szCs w:val="20"/>
              </w:rPr>
            </w:pPr>
            <w:r>
              <w:rPr>
                <w:rFonts w:ascii="Century Gothic" w:hAnsi="Century Gothic"/>
                <w:sz w:val="20"/>
                <w:szCs w:val="20"/>
              </w:rPr>
              <w:t>7</w:t>
            </w:r>
          </w:p>
        </w:tc>
        <w:tc>
          <w:tcPr>
            <w:tcW w:w="4874" w:type="dxa"/>
            <w:tcBorders>
              <w:top w:val="single" w:sz="2" w:space="0" w:color="000000"/>
              <w:left w:val="single" w:sz="2" w:space="0" w:color="000000"/>
              <w:bottom w:val="single" w:sz="2" w:space="0" w:color="000000"/>
              <w:right w:val="single" w:sz="2" w:space="0" w:color="000000"/>
            </w:tcBorders>
            <w:hideMark/>
          </w:tcPr>
          <w:p w14:paraId="1C699C0C" w14:textId="77777777" w:rsidR="00701496" w:rsidRPr="00701496" w:rsidRDefault="00701496">
            <w:pPr>
              <w:spacing w:line="256" w:lineRule="auto"/>
              <w:ind w:left="16"/>
              <w:rPr>
                <w:rFonts w:ascii="Century Gothic" w:hAnsi="Century Gothic"/>
                <w:sz w:val="20"/>
                <w:szCs w:val="20"/>
                <w:lang w:val="pl-PL"/>
              </w:rPr>
            </w:pPr>
            <w:r w:rsidRPr="00701496">
              <w:rPr>
                <w:rFonts w:ascii="Century Gothic" w:hAnsi="Century Gothic"/>
                <w:sz w:val="20"/>
                <w:szCs w:val="20"/>
                <w:lang w:val="pl-PL"/>
              </w:rPr>
              <w:t>urządzenie chłodu lub ciepła lub wentylacyjne</w:t>
            </w:r>
          </w:p>
        </w:tc>
        <w:tc>
          <w:tcPr>
            <w:tcW w:w="1579" w:type="dxa"/>
            <w:tcBorders>
              <w:top w:val="single" w:sz="2" w:space="0" w:color="000000"/>
              <w:left w:val="single" w:sz="2" w:space="0" w:color="000000"/>
              <w:bottom w:val="single" w:sz="2" w:space="0" w:color="000000"/>
              <w:right w:val="single" w:sz="2" w:space="0" w:color="000000"/>
            </w:tcBorders>
            <w:hideMark/>
          </w:tcPr>
          <w:p w14:paraId="1A942C4A" w14:textId="77777777" w:rsidR="00701496" w:rsidRDefault="00701496">
            <w:pPr>
              <w:spacing w:line="256" w:lineRule="auto"/>
              <w:ind w:right="5"/>
              <w:jc w:val="center"/>
              <w:rPr>
                <w:rFonts w:ascii="Century Gothic" w:hAnsi="Century Gothic"/>
                <w:sz w:val="20"/>
                <w:szCs w:val="20"/>
              </w:rPr>
            </w:pPr>
            <w:r>
              <w:rPr>
                <w:rFonts w:ascii="Century Gothic" w:hAnsi="Century Gothic"/>
                <w:sz w:val="20"/>
                <w:szCs w:val="20"/>
              </w:rPr>
              <w:t>4</w:t>
            </w:r>
          </w:p>
        </w:tc>
        <w:tc>
          <w:tcPr>
            <w:tcW w:w="1496" w:type="dxa"/>
            <w:tcBorders>
              <w:top w:val="single" w:sz="2" w:space="0" w:color="000000"/>
              <w:left w:val="single" w:sz="2" w:space="0" w:color="000000"/>
              <w:bottom w:val="single" w:sz="2" w:space="0" w:color="000000"/>
              <w:right w:val="single" w:sz="2" w:space="0" w:color="000000"/>
            </w:tcBorders>
            <w:hideMark/>
          </w:tcPr>
          <w:p w14:paraId="4173C1A3"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65</w:t>
            </w:r>
          </w:p>
        </w:tc>
      </w:tr>
      <w:tr w:rsidR="00701496" w14:paraId="34FCDD80" w14:textId="77777777">
        <w:trPr>
          <w:trHeight w:val="283"/>
        </w:trPr>
        <w:tc>
          <w:tcPr>
            <w:tcW w:w="541" w:type="dxa"/>
            <w:tcBorders>
              <w:top w:val="single" w:sz="2" w:space="0" w:color="000000"/>
              <w:left w:val="single" w:sz="2" w:space="0" w:color="000000"/>
              <w:bottom w:val="single" w:sz="2" w:space="0" w:color="000000"/>
              <w:right w:val="single" w:sz="2" w:space="0" w:color="000000"/>
            </w:tcBorders>
            <w:hideMark/>
          </w:tcPr>
          <w:p w14:paraId="5A7D27FF" w14:textId="77777777" w:rsidR="00701496" w:rsidRDefault="00701496">
            <w:pPr>
              <w:spacing w:line="256" w:lineRule="auto"/>
              <w:rPr>
                <w:rFonts w:ascii="Century Gothic" w:hAnsi="Century Gothic"/>
                <w:sz w:val="20"/>
                <w:szCs w:val="20"/>
              </w:rPr>
            </w:pPr>
            <w:r>
              <w:rPr>
                <w:rFonts w:ascii="Century Gothic" w:hAnsi="Century Gothic"/>
                <w:sz w:val="20"/>
                <w:szCs w:val="20"/>
              </w:rPr>
              <w:t>8</w:t>
            </w:r>
          </w:p>
        </w:tc>
        <w:tc>
          <w:tcPr>
            <w:tcW w:w="4874" w:type="dxa"/>
            <w:tcBorders>
              <w:top w:val="single" w:sz="2" w:space="0" w:color="000000"/>
              <w:left w:val="single" w:sz="2" w:space="0" w:color="000000"/>
              <w:bottom w:val="single" w:sz="2" w:space="0" w:color="000000"/>
              <w:right w:val="single" w:sz="2" w:space="0" w:color="000000"/>
            </w:tcBorders>
            <w:hideMark/>
          </w:tcPr>
          <w:p w14:paraId="0E743EA0" w14:textId="77777777" w:rsidR="00701496" w:rsidRDefault="00701496">
            <w:pPr>
              <w:spacing w:line="256" w:lineRule="auto"/>
              <w:ind w:left="7"/>
              <w:rPr>
                <w:rFonts w:ascii="Century Gothic" w:hAnsi="Century Gothic"/>
                <w:sz w:val="20"/>
                <w:szCs w:val="20"/>
              </w:rPr>
            </w:pPr>
            <w:proofErr w:type="spellStart"/>
            <w:r>
              <w:rPr>
                <w:rFonts w:ascii="Century Gothic" w:hAnsi="Century Gothic"/>
                <w:sz w:val="20"/>
                <w:szCs w:val="20"/>
              </w:rPr>
              <w:t>agregat</w:t>
            </w:r>
            <w:proofErr w:type="spellEnd"/>
            <w:r>
              <w:rPr>
                <w:rFonts w:ascii="Century Gothic" w:hAnsi="Century Gothic"/>
                <w:sz w:val="20"/>
                <w:szCs w:val="20"/>
              </w:rPr>
              <w:t xml:space="preserve"> </w:t>
            </w:r>
            <w:proofErr w:type="spellStart"/>
            <w:r>
              <w:rPr>
                <w:rFonts w:ascii="Century Gothic" w:hAnsi="Century Gothic"/>
                <w:sz w:val="20"/>
                <w:szCs w:val="20"/>
              </w:rPr>
              <w:t>wody</w:t>
            </w:r>
            <w:proofErr w:type="spellEnd"/>
            <w:r>
              <w:rPr>
                <w:rFonts w:ascii="Century Gothic" w:hAnsi="Century Gothic"/>
                <w:sz w:val="20"/>
                <w:szCs w:val="20"/>
              </w:rPr>
              <w:t xml:space="preserve"> </w:t>
            </w:r>
            <w:proofErr w:type="spellStart"/>
            <w:r>
              <w:rPr>
                <w:rFonts w:ascii="Century Gothic" w:hAnsi="Century Gothic"/>
                <w:sz w:val="20"/>
                <w:szCs w:val="20"/>
              </w:rPr>
              <w:t>lodowe</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1C934390" w14:textId="77777777" w:rsidR="00701496" w:rsidRDefault="00701496">
            <w:pPr>
              <w:spacing w:line="256" w:lineRule="auto"/>
              <w:ind w:right="5"/>
              <w:jc w:val="center"/>
              <w:rPr>
                <w:rFonts w:ascii="Century Gothic" w:hAnsi="Century Gothic"/>
                <w:sz w:val="20"/>
                <w:szCs w:val="20"/>
              </w:rPr>
            </w:pPr>
            <w:r>
              <w:rPr>
                <w:rFonts w:ascii="Century Gothic" w:hAnsi="Century Gothic"/>
                <w:sz w:val="20"/>
                <w:szCs w:val="20"/>
              </w:rPr>
              <w:t>22</w:t>
            </w:r>
          </w:p>
        </w:tc>
        <w:tc>
          <w:tcPr>
            <w:tcW w:w="1496" w:type="dxa"/>
            <w:tcBorders>
              <w:top w:val="single" w:sz="2" w:space="0" w:color="000000"/>
              <w:left w:val="single" w:sz="2" w:space="0" w:color="000000"/>
              <w:bottom w:val="single" w:sz="2" w:space="0" w:color="000000"/>
              <w:right w:val="single" w:sz="2" w:space="0" w:color="000000"/>
            </w:tcBorders>
            <w:hideMark/>
          </w:tcPr>
          <w:p w14:paraId="5893B112"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90</w:t>
            </w:r>
          </w:p>
        </w:tc>
      </w:tr>
      <w:tr w:rsidR="00701496" w14:paraId="09FACFAA" w14:textId="77777777">
        <w:trPr>
          <w:trHeight w:val="281"/>
        </w:trPr>
        <w:tc>
          <w:tcPr>
            <w:tcW w:w="541" w:type="dxa"/>
            <w:tcBorders>
              <w:top w:val="single" w:sz="2" w:space="0" w:color="000000"/>
              <w:left w:val="single" w:sz="2" w:space="0" w:color="000000"/>
              <w:bottom w:val="single" w:sz="2" w:space="0" w:color="000000"/>
              <w:right w:val="single" w:sz="2" w:space="0" w:color="000000"/>
            </w:tcBorders>
            <w:hideMark/>
          </w:tcPr>
          <w:p w14:paraId="63CA48CC" w14:textId="77777777" w:rsidR="00701496" w:rsidRDefault="00701496">
            <w:pPr>
              <w:spacing w:line="256" w:lineRule="auto"/>
              <w:rPr>
                <w:rFonts w:ascii="Century Gothic" w:hAnsi="Century Gothic"/>
                <w:sz w:val="20"/>
                <w:szCs w:val="20"/>
              </w:rPr>
            </w:pPr>
            <w:r>
              <w:rPr>
                <w:rFonts w:ascii="Century Gothic" w:hAnsi="Century Gothic"/>
                <w:sz w:val="20"/>
                <w:szCs w:val="20"/>
              </w:rPr>
              <w:t>9</w:t>
            </w:r>
          </w:p>
        </w:tc>
        <w:tc>
          <w:tcPr>
            <w:tcW w:w="4874" w:type="dxa"/>
            <w:tcBorders>
              <w:top w:val="single" w:sz="2" w:space="0" w:color="000000"/>
              <w:left w:val="single" w:sz="2" w:space="0" w:color="000000"/>
              <w:bottom w:val="single" w:sz="2" w:space="0" w:color="000000"/>
              <w:right w:val="single" w:sz="2" w:space="0" w:color="000000"/>
            </w:tcBorders>
            <w:hideMark/>
          </w:tcPr>
          <w:p w14:paraId="62579705" w14:textId="77777777" w:rsidR="00701496" w:rsidRDefault="00701496">
            <w:pPr>
              <w:spacing w:line="256" w:lineRule="auto"/>
              <w:ind w:left="11"/>
              <w:rPr>
                <w:rFonts w:ascii="Century Gothic" w:hAnsi="Century Gothic"/>
                <w:sz w:val="20"/>
                <w:szCs w:val="20"/>
              </w:rPr>
            </w:pPr>
            <w:proofErr w:type="spellStart"/>
            <w:r>
              <w:rPr>
                <w:rFonts w:ascii="Century Gothic" w:hAnsi="Century Gothic"/>
                <w:sz w:val="20"/>
                <w:szCs w:val="20"/>
              </w:rPr>
              <w:t>pompa</w:t>
            </w:r>
            <w:proofErr w:type="spellEnd"/>
            <w:r>
              <w:rPr>
                <w:rFonts w:ascii="Century Gothic" w:hAnsi="Century Gothic"/>
                <w:sz w:val="20"/>
                <w:szCs w:val="20"/>
              </w:rPr>
              <w:t xml:space="preserve"> </w:t>
            </w:r>
            <w:proofErr w:type="spellStart"/>
            <w:r>
              <w:rPr>
                <w:rFonts w:ascii="Century Gothic" w:hAnsi="Century Gothic"/>
                <w:sz w:val="20"/>
                <w:szCs w:val="20"/>
              </w:rPr>
              <w:t>ciepła</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55497DA5" w14:textId="77777777" w:rsidR="00701496" w:rsidRDefault="00701496">
            <w:pPr>
              <w:spacing w:line="256" w:lineRule="auto"/>
              <w:jc w:val="center"/>
              <w:rPr>
                <w:rFonts w:ascii="Century Gothic" w:hAnsi="Century Gothic"/>
                <w:sz w:val="20"/>
                <w:szCs w:val="20"/>
              </w:rPr>
            </w:pPr>
            <w:r>
              <w:rPr>
                <w:rFonts w:ascii="Century Gothic" w:hAnsi="Century Gothic"/>
                <w:sz w:val="20"/>
                <w:szCs w:val="20"/>
              </w:rPr>
              <w:t>32</w:t>
            </w:r>
          </w:p>
        </w:tc>
        <w:tc>
          <w:tcPr>
            <w:tcW w:w="1496" w:type="dxa"/>
            <w:tcBorders>
              <w:top w:val="single" w:sz="2" w:space="0" w:color="000000"/>
              <w:left w:val="single" w:sz="2" w:space="0" w:color="000000"/>
              <w:bottom w:val="single" w:sz="2" w:space="0" w:color="000000"/>
              <w:right w:val="single" w:sz="2" w:space="0" w:color="000000"/>
            </w:tcBorders>
            <w:hideMark/>
          </w:tcPr>
          <w:p w14:paraId="7F66132E" w14:textId="77777777" w:rsidR="00701496" w:rsidRDefault="00701496">
            <w:pPr>
              <w:spacing w:line="256" w:lineRule="auto"/>
              <w:ind w:left="2"/>
              <w:jc w:val="center"/>
              <w:rPr>
                <w:rFonts w:ascii="Century Gothic" w:hAnsi="Century Gothic"/>
                <w:sz w:val="20"/>
                <w:szCs w:val="20"/>
              </w:rPr>
            </w:pPr>
            <w:r>
              <w:rPr>
                <w:rFonts w:ascii="Century Gothic" w:hAnsi="Century Gothic"/>
                <w:sz w:val="20"/>
                <w:szCs w:val="20"/>
              </w:rPr>
              <w:t>80</w:t>
            </w:r>
          </w:p>
        </w:tc>
      </w:tr>
      <w:tr w:rsidR="00701496" w14:paraId="75F07D53" w14:textId="77777777">
        <w:trPr>
          <w:trHeight w:val="495"/>
        </w:trPr>
        <w:tc>
          <w:tcPr>
            <w:tcW w:w="541" w:type="dxa"/>
            <w:tcBorders>
              <w:top w:val="single" w:sz="2" w:space="0" w:color="000000"/>
              <w:left w:val="single" w:sz="2" w:space="0" w:color="000000"/>
              <w:bottom w:val="single" w:sz="2" w:space="0" w:color="000000"/>
              <w:right w:val="single" w:sz="2" w:space="0" w:color="000000"/>
            </w:tcBorders>
            <w:hideMark/>
          </w:tcPr>
          <w:p w14:paraId="75FD5B49" w14:textId="77777777" w:rsidR="00701496" w:rsidRDefault="00701496">
            <w:pPr>
              <w:spacing w:line="256" w:lineRule="auto"/>
              <w:ind w:left="19"/>
              <w:rPr>
                <w:rFonts w:ascii="Century Gothic" w:hAnsi="Century Gothic"/>
                <w:sz w:val="20"/>
                <w:szCs w:val="20"/>
              </w:rPr>
            </w:pPr>
            <w:r>
              <w:rPr>
                <w:rFonts w:ascii="Century Gothic" w:hAnsi="Century Gothic"/>
                <w:sz w:val="20"/>
                <w:szCs w:val="20"/>
              </w:rPr>
              <w:t>10</w:t>
            </w:r>
          </w:p>
        </w:tc>
        <w:tc>
          <w:tcPr>
            <w:tcW w:w="4874" w:type="dxa"/>
            <w:tcBorders>
              <w:top w:val="single" w:sz="2" w:space="0" w:color="000000"/>
              <w:left w:val="single" w:sz="2" w:space="0" w:color="000000"/>
              <w:bottom w:val="single" w:sz="2" w:space="0" w:color="000000"/>
              <w:right w:val="single" w:sz="2" w:space="0" w:color="000000"/>
            </w:tcBorders>
            <w:hideMark/>
          </w:tcPr>
          <w:p w14:paraId="13A3F802" w14:textId="77777777" w:rsidR="00701496" w:rsidRPr="00701496" w:rsidRDefault="00701496">
            <w:pPr>
              <w:spacing w:line="256" w:lineRule="auto"/>
              <w:ind w:left="2" w:firstLine="10"/>
              <w:rPr>
                <w:rFonts w:ascii="Century Gothic" w:hAnsi="Century Gothic"/>
                <w:sz w:val="20"/>
                <w:szCs w:val="20"/>
                <w:lang w:val="pl-PL"/>
              </w:rPr>
            </w:pPr>
            <w:r w:rsidRPr="00701496">
              <w:rPr>
                <w:rFonts w:ascii="Century Gothic" w:hAnsi="Century Gothic"/>
                <w:sz w:val="20"/>
                <w:szCs w:val="20"/>
                <w:lang w:val="pl-PL"/>
              </w:rPr>
              <w:t>urządzenie wentylacyjne opcjonalnie z nagrzewnicą azową do 200 kW</w:t>
            </w:r>
          </w:p>
        </w:tc>
        <w:tc>
          <w:tcPr>
            <w:tcW w:w="1579" w:type="dxa"/>
            <w:tcBorders>
              <w:top w:val="single" w:sz="2" w:space="0" w:color="000000"/>
              <w:left w:val="single" w:sz="2" w:space="0" w:color="000000"/>
              <w:bottom w:val="single" w:sz="2" w:space="0" w:color="000000"/>
              <w:right w:val="single" w:sz="2" w:space="0" w:color="000000"/>
            </w:tcBorders>
            <w:vAlign w:val="center"/>
            <w:hideMark/>
          </w:tcPr>
          <w:p w14:paraId="146E1B34" w14:textId="77777777" w:rsidR="00701496" w:rsidRDefault="00701496">
            <w:pPr>
              <w:spacing w:line="256" w:lineRule="auto"/>
              <w:ind w:right="5"/>
              <w:jc w:val="center"/>
              <w:rPr>
                <w:rFonts w:ascii="Century Gothic" w:hAnsi="Century Gothic"/>
                <w:sz w:val="20"/>
                <w:szCs w:val="20"/>
              </w:rPr>
            </w:pPr>
            <w:r>
              <w:rPr>
                <w:rFonts w:ascii="Century Gothic" w:hAnsi="Century Gothic"/>
                <w:sz w:val="20"/>
                <w:szCs w:val="20"/>
              </w:rPr>
              <w:t>38</w:t>
            </w:r>
          </w:p>
        </w:tc>
        <w:tc>
          <w:tcPr>
            <w:tcW w:w="1496" w:type="dxa"/>
            <w:tcBorders>
              <w:top w:val="single" w:sz="2" w:space="0" w:color="000000"/>
              <w:left w:val="single" w:sz="2" w:space="0" w:color="000000"/>
              <w:bottom w:val="single" w:sz="2" w:space="0" w:color="000000"/>
              <w:right w:val="single" w:sz="2" w:space="0" w:color="000000"/>
            </w:tcBorders>
            <w:vAlign w:val="center"/>
            <w:hideMark/>
          </w:tcPr>
          <w:p w14:paraId="5F164F63" w14:textId="77777777" w:rsidR="00701496" w:rsidRDefault="00701496">
            <w:pPr>
              <w:spacing w:line="256" w:lineRule="auto"/>
              <w:ind w:left="2"/>
              <w:jc w:val="center"/>
              <w:rPr>
                <w:rFonts w:ascii="Century Gothic" w:hAnsi="Century Gothic"/>
                <w:sz w:val="20"/>
                <w:szCs w:val="20"/>
              </w:rPr>
            </w:pPr>
            <w:r>
              <w:rPr>
                <w:rFonts w:ascii="Century Gothic" w:hAnsi="Century Gothic"/>
                <w:sz w:val="20"/>
                <w:szCs w:val="20"/>
              </w:rPr>
              <w:t>80</w:t>
            </w:r>
          </w:p>
        </w:tc>
      </w:tr>
      <w:tr w:rsidR="00701496" w14:paraId="28E33A99" w14:textId="77777777">
        <w:trPr>
          <w:trHeight w:val="254"/>
        </w:trPr>
        <w:tc>
          <w:tcPr>
            <w:tcW w:w="541" w:type="dxa"/>
            <w:tcBorders>
              <w:top w:val="single" w:sz="2" w:space="0" w:color="000000"/>
              <w:left w:val="single" w:sz="2" w:space="0" w:color="000000"/>
              <w:bottom w:val="single" w:sz="2" w:space="0" w:color="000000"/>
              <w:right w:val="single" w:sz="2" w:space="0" w:color="000000"/>
            </w:tcBorders>
            <w:hideMark/>
          </w:tcPr>
          <w:p w14:paraId="2604DCBA" w14:textId="77777777" w:rsidR="00701496" w:rsidRDefault="00701496">
            <w:pPr>
              <w:spacing w:line="256" w:lineRule="auto"/>
              <w:ind w:left="14"/>
              <w:rPr>
                <w:rFonts w:ascii="Century Gothic" w:hAnsi="Century Gothic"/>
                <w:sz w:val="20"/>
                <w:szCs w:val="20"/>
              </w:rPr>
            </w:pPr>
            <w:r>
              <w:rPr>
                <w:rFonts w:ascii="Century Gothic" w:hAnsi="Century Gothic"/>
                <w:sz w:val="20"/>
                <w:szCs w:val="20"/>
              </w:rPr>
              <w:t>11</w:t>
            </w:r>
          </w:p>
        </w:tc>
        <w:tc>
          <w:tcPr>
            <w:tcW w:w="4874" w:type="dxa"/>
            <w:tcBorders>
              <w:top w:val="single" w:sz="2" w:space="0" w:color="000000"/>
              <w:left w:val="single" w:sz="2" w:space="0" w:color="000000"/>
              <w:bottom w:val="single" w:sz="2" w:space="0" w:color="000000"/>
              <w:right w:val="single" w:sz="2" w:space="0" w:color="000000"/>
            </w:tcBorders>
            <w:hideMark/>
          </w:tcPr>
          <w:p w14:paraId="2394A3EA" w14:textId="77777777" w:rsidR="00701496" w:rsidRDefault="00701496">
            <w:pPr>
              <w:spacing w:line="256" w:lineRule="auto"/>
              <w:ind w:left="16"/>
              <w:rPr>
                <w:rFonts w:ascii="Century Gothic" w:hAnsi="Century Gothic"/>
                <w:sz w:val="20"/>
                <w:szCs w:val="20"/>
              </w:rPr>
            </w:pPr>
            <w:proofErr w:type="spellStart"/>
            <w:r>
              <w:rPr>
                <w:rFonts w:ascii="Century Gothic" w:hAnsi="Century Gothic"/>
                <w:sz w:val="20"/>
                <w:szCs w:val="20"/>
              </w:rPr>
              <w:t>urządzenie</w:t>
            </w:r>
            <w:proofErr w:type="spellEnd"/>
            <w:r>
              <w:rPr>
                <w:rFonts w:ascii="Century Gothic" w:hAnsi="Century Gothic"/>
                <w:sz w:val="20"/>
                <w:szCs w:val="20"/>
              </w:rPr>
              <w:t xml:space="preserve"> </w:t>
            </w:r>
            <w:proofErr w:type="spellStart"/>
            <w:r>
              <w:rPr>
                <w:rFonts w:ascii="Century Gothic" w:hAnsi="Century Gothic"/>
                <w:sz w:val="20"/>
                <w:szCs w:val="20"/>
              </w:rPr>
              <w:t>chłodnicze</w:t>
            </w:r>
            <w:proofErr w:type="spellEnd"/>
          </w:p>
        </w:tc>
        <w:tc>
          <w:tcPr>
            <w:tcW w:w="1579" w:type="dxa"/>
            <w:tcBorders>
              <w:top w:val="single" w:sz="2" w:space="0" w:color="000000"/>
              <w:left w:val="single" w:sz="2" w:space="0" w:color="000000"/>
              <w:bottom w:val="single" w:sz="2" w:space="0" w:color="000000"/>
              <w:right w:val="single" w:sz="2" w:space="0" w:color="000000"/>
            </w:tcBorders>
            <w:hideMark/>
          </w:tcPr>
          <w:p w14:paraId="18610168" w14:textId="77777777" w:rsidR="00701496" w:rsidRDefault="00701496">
            <w:pPr>
              <w:spacing w:line="256" w:lineRule="auto"/>
              <w:jc w:val="center"/>
              <w:rPr>
                <w:rFonts w:ascii="Century Gothic" w:hAnsi="Century Gothic"/>
                <w:sz w:val="20"/>
                <w:szCs w:val="20"/>
              </w:rPr>
            </w:pPr>
            <w:r>
              <w:rPr>
                <w:rFonts w:ascii="Century Gothic" w:hAnsi="Century Gothic"/>
                <w:sz w:val="20"/>
                <w:szCs w:val="20"/>
              </w:rPr>
              <w:t>38</w:t>
            </w:r>
          </w:p>
        </w:tc>
        <w:tc>
          <w:tcPr>
            <w:tcW w:w="1496" w:type="dxa"/>
            <w:tcBorders>
              <w:top w:val="single" w:sz="2" w:space="0" w:color="000000"/>
              <w:left w:val="single" w:sz="2" w:space="0" w:color="000000"/>
              <w:bottom w:val="single" w:sz="2" w:space="0" w:color="000000"/>
              <w:right w:val="single" w:sz="2" w:space="0" w:color="000000"/>
            </w:tcBorders>
            <w:hideMark/>
          </w:tcPr>
          <w:p w14:paraId="5C7FAB80" w14:textId="77777777" w:rsidR="00701496" w:rsidRDefault="00701496">
            <w:pPr>
              <w:spacing w:line="256" w:lineRule="auto"/>
              <w:ind w:left="7"/>
              <w:jc w:val="center"/>
              <w:rPr>
                <w:rFonts w:ascii="Century Gothic" w:hAnsi="Century Gothic"/>
                <w:sz w:val="20"/>
                <w:szCs w:val="20"/>
              </w:rPr>
            </w:pPr>
            <w:r>
              <w:rPr>
                <w:rFonts w:ascii="Century Gothic" w:hAnsi="Century Gothic"/>
                <w:sz w:val="20"/>
                <w:szCs w:val="20"/>
              </w:rPr>
              <w:t>80</w:t>
            </w:r>
          </w:p>
        </w:tc>
      </w:tr>
    </w:tbl>
    <w:p w14:paraId="304BC50B" w14:textId="77777777" w:rsidR="00701496" w:rsidRDefault="00701496" w:rsidP="00701496">
      <w:pPr>
        <w:jc w:val="both"/>
        <w:rPr>
          <w:rFonts w:ascii="Century Gothic" w:eastAsia="Times New Roman" w:hAnsi="Century Gothic" w:cs="Calibri"/>
          <w:kern w:val="0"/>
          <w:sz w:val="21"/>
          <w:szCs w:val="21"/>
          <w14:ligatures w14:val="none"/>
        </w:rPr>
      </w:pPr>
    </w:p>
    <w:p w14:paraId="65D2F915" w14:textId="77777777" w:rsidR="00701496" w:rsidRDefault="00701496" w:rsidP="00701496">
      <w:pPr>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ab/>
      </w:r>
    </w:p>
    <w:p w14:paraId="69AA7C68" w14:textId="77777777" w:rsidR="00701496" w:rsidRDefault="00701496" w:rsidP="00701496">
      <w:pPr>
        <w:spacing w:line="276" w:lineRule="auto"/>
        <w:jc w:val="both"/>
        <w:rPr>
          <w:rFonts w:ascii="Century Gothic" w:hAnsi="Century Gothic" w:cs="Calibri"/>
          <w:bCs/>
          <w:iCs/>
          <w:sz w:val="21"/>
          <w:szCs w:val="21"/>
          <w:lang w:eastAsia="pl-PL"/>
        </w:rPr>
      </w:pPr>
      <w:r>
        <w:rPr>
          <w:rFonts w:ascii="Century Gothic" w:hAnsi="Century Gothic" w:cs="Calibri"/>
          <w:b/>
          <w:bCs/>
          <w:iCs/>
          <w:sz w:val="21"/>
          <w:szCs w:val="21"/>
        </w:rPr>
        <w:t xml:space="preserve">III.  Ustalić </w:t>
      </w:r>
      <w:r>
        <w:rPr>
          <w:rFonts w:ascii="Century Gothic" w:hAnsi="Century Gothic" w:cs="Calibri"/>
          <w:bCs/>
          <w:iCs/>
          <w:sz w:val="21"/>
          <w:szCs w:val="21"/>
        </w:rPr>
        <w:t>charakterystykę planowanego przedsięwzięcia zawartą w załączniku do niniejszej decyzji jako jej integralną część.</w:t>
      </w:r>
    </w:p>
    <w:p w14:paraId="4C73A38E" w14:textId="77777777" w:rsidR="00701496" w:rsidRDefault="00701496" w:rsidP="00701496">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0B566F82"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14:ligatures w14:val="none"/>
        </w:rPr>
        <w:t xml:space="preserve">1.  </w:t>
      </w:r>
      <w:r>
        <w:rPr>
          <w:rFonts w:ascii="Century Gothic" w:eastAsia="Times New Roman" w:hAnsi="Century Gothic" w:cs="Calibri"/>
          <w:kern w:val="0"/>
          <w:sz w:val="20"/>
          <w:szCs w:val="20"/>
          <w:lang w:eastAsia="pl-PL"/>
          <w14:ligatures w14:val="none"/>
        </w:rPr>
        <w:t xml:space="preserve">Wnioskiem z dnia 11 sierpnia 2025 r. (data wpływu 19.08.2025 r.) </w:t>
      </w:r>
      <w:r>
        <w:rPr>
          <w:rFonts w:ascii="Century Gothic" w:eastAsia="Times New Roman" w:hAnsi="Century Gothic" w:cs="Times New Roman"/>
          <w:kern w:val="0"/>
          <w:sz w:val="20"/>
          <w:szCs w:val="20"/>
          <w14:ligatures w14:val="none"/>
        </w:rPr>
        <w:t>Inwestor</w:t>
      </w:r>
      <w:r>
        <w:rPr>
          <w:rFonts w:ascii="Century Gothic" w:hAnsi="Century Gothic"/>
          <w:sz w:val="20"/>
          <w:szCs w:val="20"/>
        </w:rPr>
        <w:t xml:space="preserve"> </w:t>
      </w:r>
      <w:proofErr w:type="spellStart"/>
      <w:r>
        <w:rPr>
          <w:rFonts w:ascii="Century Gothic" w:hAnsi="Century Gothic"/>
          <w:sz w:val="20"/>
          <w:szCs w:val="20"/>
        </w:rPr>
        <w:t>Rokinew</w:t>
      </w:r>
      <w:proofErr w:type="spellEnd"/>
      <w:r>
        <w:rPr>
          <w:rFonts w:ascii="Century Gothic" w:hAnsi="Century Gothic"/>
          <w:sz w:val="20"/>
          <w:szCs w:val="20"/>
        </w:rPr>
        <w:t xml:space="preserve"> Sp. z.o.o., Aleja Jana Pawła II 27, 00-867 Warszawa reprezentowany przez Pełnomocnika Panią Agatę Walkowską z firmy Proporcja Sp. z.o.o., ul. Kasprzaka 45, 60-245 Poznań </w:t>
      </w:r>
      <w:r>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Pr>
          <w:rFonts w:ascii="Century Gothic" w:eastAsia="Times New Roman" w:hAnsi="Century Gothic" w:cs="Calibri"/>
          <w:kern w:val="0"/>
          <w:sz w:val="20"/>
          <w:szCs w:val="20"/>
          <w14:ligatures w14:val="none"/>
        </w:rPr>
        <w:t>na</w:t>
      </w:r>
      <w:r>
        <w:rPr>
          <w:rFonts w:ascii="Century Gothic" w:hAnsi="Century Gothic"/>
          <w:sz w:val="20"/>
          <w:szCs w:val="20"/>
        </w:rPr>
        <w:t xml:space="preserve"> budowie </w:t>
      </w:r>
      <w:r>
        <w:rPr>
          <w:rFonts w:ascii="Century Gothic" w:hAnsi="Century Gothic" w:cs="Arial"/>
          <w:sz w:val="20"/>
          <w:szCs w:val="20"/>
        </w:rPr>
        <w:t xml:space="preserve">centrum logistycznego z obiektami magazynowo – </w:t>
      </w:r>
      <w:proofErr w:type="spellStart"/>
      <w:r>
        <w:rPr>
          <w:rFonts w:ascii="Century Gothic" w:hAnsi="Century Gothic" w:cs="Arial"/>
          <w:sz w:val="20"/>
          <w:szCs w:val="20"/>
        </w:rPr>
        <w:t>produkcyjno</w:t>
      </w:r>
      <w:proofErr w:type="spellEnd"/>
      <w:r>
        <w:rPr>
          <w:rFonts w:ascii="Century Gothic" w:hAnsi="Century Gothic" w:cs="Arial"/>
          <w:sz w:val="20"/>
          <w:szCs w:val="20"/>
        </w:rPr>
        <w:t xml:space="preserve"> - usługowymi wraz z przestrzeniami biurowo-administracyjnymi, niezbędną infrastrukturą techniczną i towarzyszącą</w:t>
      </w:r>
      <w:r>
        <w:rPr>
          <w:rFonts w:ascii="Century Gothic" w:hAnsi="Century Gothic"/>
          <w:sz w:val="20"/>
          <w:szCs w:val="20"/>
        </w:rPr>
        <w:t xml:space="preserve"> w miejscowości Obora, Gmina Gniezno, działka nr 147/1</w:t>
      </w:r>
      <w:r>
        <w:rPr>
          <w:rFonts w:ascii="Century Gothic" w:eastAsia="Times New Roman" w:hAnsi="Century Gothic" w:cs="Times New Roman"/>
          <w:kern w:val="0"/>
          <w:sz w:val="20"/>
          <w:szCs w:val="20"/>
          <w14:ligatures w14:val="none"/>
        </w:rPr>
        <w:t xml:space="preserve">, </w:t>
      </w:r>
      <w:r>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1:1000, obejmującą przewidywany teren na którym będzie realizowane przedsięwzięcie oraz obejmującą przewidywany obszar, na który będzie oddziaływać przedsięwzięcie, (również w wersji elektronicznej) oraz pełnomocnictwo z opłata skarbową.</w:t>
      </w:r>
    </w:p>
    <w:p w14:paraId="0E007771" w14:textId="77777777" w:rsidR="00701496" w:rsidRDefault="00701496" w:rsidP="00701496">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Pr>
          <w:rFonts w:ascii="Century Gothic" w:eastAsia="Times New Roman" w:hAnsi="Century Gothic" w:cs="Times New Roman"/>
          <w:kern w:val="0"/>
          <w:sz w:val="20"/>
          <w:szCs w:val="20"/>
          <w14:ligatures w14:val="none"/>
        </w:rPr>
        <w:t xml:space="preserve">2. </w:t>
      </w:r>
      <w:r>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0"/>
          <w:szCs w:val="20"/>
          <w:lang w:eastAsia="pl-PL"/>
          <w14:ligatures w14:val="none"/>
        </w:rPr>
        <w:t>ooś</w:t>
      </w:r>
      <w:proofErr w:type="spellEnd"/>
      <w:r>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42F2D9C8" w14:textId="77777777" w:rsidR="00701496" w:rsidRDefault="00701496" w:rsidP="00701496">
      <w:pPr>
        <w:spacing w:after="0" w:line="276" w:lineRule="auto"/>
        <w:jc w:val="both"/>
        <w:rPr>
          <w:rFonts w:ascii="Century Gothic" w:eastAsia="Times New Roman" w:hAnsi="Century Gothic" w:cs="Calibri"/>
          <w:bCs/>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0"/>
          <w:szCs w:val="20"/>
        </w:rPr>
        <w:t xml:space="preserve">§ 3 ust. 1 pkt 37 b) i d); § 3 ust. 1 pkt 54 b);  § 3 ust. 1 pkt 58 b);  § 3 ust. 1 pkt 62 </w:t>
      </w:r>
      <w:r>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0"/>
          <w:szCs w:val="20"/>
          <w:lang w:eastAsia="pl-PL"/>
          <w14:ligatures w14:val="none"/>
        </w:rPr>
        <w:t xml:space="preserve"> Wobec</w:t>
      </w:r>
      <w:r>
        <w:rPr>
          <w:rFonts w:ascii="Century Gothic" w:eastAsia="Times New Roman" w:hAnsi="Century Gothic" w:cs="Calibri"/>
          <w:spacing w:val="24"/>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powyż</w:t>
      </w:r>
      <w:r>
        <w:rPr>
          <w:rFonts w:ascii="Century Gothic" w:eastAsia="Times New Roman" w:hAnsi="Century Gothic" w:cs="Calibri"/>
          <w:spacing w:val="-17"/>
          <w:kern w:val="0"/>
          <w:sz w:val="20"/>
          <w:szCs w:val="20"/>
          <w:lang w:eastAsia="pl-PL"/>
          <w14:ligatures w14:val="none"/>
        </w:rPr>
        <w:t>s</w:t>
      </w:r>
      <w:r>
        <w:rPr>
          <w:rFonts w:ascii="Century Gothic" w:eastAsia="Times New Roman" w:hAnsi="Century Gothic" w:cs="Calibri"/>
          <w:kern w:val="0"/>
          <w:sz w:val="20"/>
          <w:szCs w:val="20"/>
          <w:lang w:eastAsia="pl-PL"/>
          <w14:ligatures w14:val="none"/>
        </w:rPr>
        <w:t>zego</w:t>
      </w:r>
      <w:r>
        <w:rPr>
          <w:rFonts w:ascii="Century Gothic" w:eastAsia="Times New Roman" w:hAnsi="Century Gothic" w:cs="Calibri"/>
          <w:spacing w:val="4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przedmiotowe</w:t>
      </w:r>
      <w:r>
        <w:rPr>
          <w:rFonts w:ascii="Century Gothic" w:eastAsia="Times New Roman" w:hAnsi="Century Gothic" w:cs="Calibri"/>
          <w:spacing w:val="3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przedsięwzięcie</w:t>
      </w:r>
      <w:r>
        <w:rPr>
          <w:rFonts w:ascii="Century Gothic" w:eastAsia="Times New Roman" w:hAnsi="Century Gothic" w:cs="Calibri"/>
          <w:spacing w:val="1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zalicza</w:t>
      </w:r>
      <w:r>
        <w:rPr>
          <w:rFonts w:ascii="Century Gothic" w:eastAsia="Times New Roman" w:hAnsi="Century Gothic" w:cs="Calibri"/>
          <w:spacing w:val="13"/>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się do</w:t>
      </w:r>
      <w:r>
        <w:rPr>
          <w:rFonts w:ascii="Century Gothic" w:eastAsia="Times New Roman" w:hAnsi="Century Gothic" w:cs="Calibri"/>
          <w:spacing w:val="1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przedsięwzięć</w:t>
      </w:r>
      <w:r>
        <w:rPr>
          <w:rFonts w:ascii="Century Gothic" w:eastAsia="Times New Roman" w:hAnsi="Century Gothic" w:cs="Calibri"/>
          <w:spacing w:val="1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lastRenderedPageBreak/>
        <w:t>mogących potencjalnie</w:t>
      </w:r>
      <w:r>
        <w:rPr>
          <w:rFonts w:ascii="Century Gothic" w:eastAsia="Times New Roman" w:hAnsi="Century Gothic" w:cs="Calibri"/>
          <w:spacing w:val="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znacząco</w:t>
      </w:r>
      <w:r>
        <w:rPr>
          <w:rFonts w:ascii="Century Gothic" w:eastAsia="Times New Roman" w:hAnsi="Century Gothic" w:cs="Calibri"/>
          <w:spacing w:val="-1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oddziaływać</w:t>
      </w:r>
      <w:r>
        <w:rPr>
          <w:rFonts w:ascii="Century Gothic" w:eastAsia="Times New Roman" w:hAnsi="Century Gothic" w:cs="Calibri"/>
          <w:spacing w:val="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w:t>
      </w:r>
      <w:r>
        <w:rPr>
          <w:rFonts w:ascii="Century Gothic" w:eastAsia="Times New Roman" w:hAnsi="Century Gothic" w:cs="Calibri"/>
          <w:spacing w:val="27"/>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środowisko,</w:t>
      </w:r>
      <w:r>
        <w:rPr>
          <w:rFonts w:ascii="Century Gothic" w:eastAsia="Times New Roman" w:hAnsi="Century Gothic" w:cs="Calibri"/>
          <w:spacing w:val="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dla</w:t>
      </w:r>
      <w:r>
        <w:rPr>
          <w:rFonts w:ascii="Century Gothic" w:eastAsia="Times New Roman" w:hAnsi="Century Gothic" w:cs="Calibri"/>
          <w:spacing w:val="4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których</w:t>
      </w:r>
      <w:r>
        <w:rPr>
          <w:rFonts w:ascii="Century Gothic" w:eastAsia="Times New Roman" w:hAnsi="Century Gothic" w:cs="Calibri"/>
          <w:spacing w:val="48"/>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obowiązek</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2"/>
          <w:kern w:val="0"/>
          <w:sz w:val="20"/>
          <w:szCs w:val="20"/>
          <w:lang w:eastAsia="pl-PL"/>
          <w14:ligatures w14:val="none"/>
        </w:rPr>
        <w:t>przeprowa</w:t>
      </w:r>
      <w:r>
        <w:rPr>
          <w:rFonts w:ascii="Century Gothic" w:eastAsia="Times New Roman" w:hAnsi="Century Gothic" w:cs="Calibri"/>
          <w:spacing w:val="11"/>
          <w:w w:val="103"/>
          <w:kern w:val="0"/>
          <w:sz w:val="20"/>
          <w:szCs w:val="20"/>
          <w:lang w:eastAsia="pl-PL"/>
          <w14:ligatures w14:val="none"/>
        </w:rPr>
        <w:t>d</w:t>
      </w:r>
      <w:r>
        <w:rPr>
          <w:rFonts w:ascii="Century Gothic" w:eastAsia="Times New Roman" w:hAnsi="Century Gothic" w:cs="Calibri"/>
          <w:w w:val="107"/>
          <w:kern w:val="0"/>
          <w:sz w:val="20"/>
          <w:szCs w:val="20"/>
          <w:lang w:eastAsia="pl-PL"/>
          <w14:ligatures w14:val="none"/>
        </w:rPr>
        <w:t>z</w:t>
      </w:r>
      <w:r>
        <w:rPr>
          <w:rFonts w:ascii="Century Gothic" w:eastAsia="Times New Roman" w:hAnsi="Century Gothic" w:cs="Calibri"/>
          <w:spacing w:val="-3"/>
          <w:w w:val="107"/>
          <w:kern w:val="0"/>
          <w:sz w:val="20"/>
          <w:szCs w:val="20"/>
          <w:lang w:eastAsia="pl-PL"/>
          <w14:ligatures w14:val="none"/>
        </w:rPr>
        <w:t>e</w:t>
      </w:r>
      <w:r>
        <w:rPr>
          <w:rFonts w:ascii="Century Gothic" w:eastAsia="Times New Roman" w:hAnsi="Century Gothic" w:cs="Calibri"/>
          <w:w w:val="99"/>
          <w:kern w:val="0"/>
          <w:sz w:val="20"/>
          <w:szCs w:val="20"/>
          <w:lang w:eastAsia="pl-PL"/>
          <w14:ligatures w14:val="none"/>
        </w:rPr>
        <w:t xml:space="preserve">nia </w:t>
      </w:r>
      <w:r>
        <w:rPr>
          <w:rFonts w:ascii="Century Gothic" w:eastAsia="Times New Roman" w:hAnsi="Century Gothic" w:cs="Calibri"/>
          <w:kern w:val="0"/>
          <w:sz w:val="20"/>
          <w:szCs w:val="20"/>
          <w:lang w:eastAsia="pl-PL"/>
          <w14:ligatures w14:val="none"/>
        </w:rPr>
        <w:t>oceny</w:t>
      </w:r>
      <w:r>
        <w:rPr>
          <w:rFonts w:ascii="Century Gothic" w:eastAsia="Times New Roman" w:hAnsi="Century Gothic" w:cs="Calibri"/>
          <w:spacing w:val="22"/>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oddziaływania</w:t>
      </w:r>
      <w:r>
        <w:rPr>
          <w:rFonts w:ascii="Century Gothic" w:eastAsia="Times New Roman" w:hAnsi="Century Gothic" w:cs="Calibri"/>
          <w:spacing w:val="45"/>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na środowisko</w:t>
      </w:r>
      <w:r>
        <w:rPr>
          <w:rFonts w:ascii="Century Gothic" w:eastAsia="Times New Roman" w:hAnsi="Century Gothic" w:cs="Calibri"/>
          <w:spacing w:val="40"/>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może</w:t>
      </w:r>
      <w:r>
        <w:rPr>
          <w:rFonts w:ascii="Century Gothic" w:eastAsia="Times New Roman" w:hAnsi="Century Gothic" w:cs="Calibri"/>
          <w:spacing w:val="26"/>
          <w:kern w:val="0"/>
          <w:sz w:val="20"/>
          <w:szCs w:val="20"/>
          <w:lang w:eastAsia="pl-PL"/>
          <w14:ligatures w14:val="none"/>
        </w:rPr>
        <w:t xml:space="preserve"> </w:t>
      </w:r>
      <w:r>
        <w:rPr>
          <w:rFonts w:ascii="Century Gothic" w:eastAsia="Times New Roman" w:hAnsi="Century Gothic" w:cs="Calibri"/>
          <w:kern w:val="0"/>
          <w:sz w:val="20"/>
          <w:szCs w:val="20"/>
          <w:lang w:eastAsia="pl-PL"/>
          <w14:ligatures w14:val="none"/>
        </w:rPr>
        <w:t>być</w:t>
      </w:r>
      <w:r>
        <w:rPr>
          <w:rFonts w:ascii="Century Gothic" w:eastAsia="Times New Roman" w:hAnsi="Century Gothic" w:cs="Calibri"/>
          <w:spacing w:val="-4"/>
          <w:kern w:val="0"/>
          <w:sz w:val="20"/>
          <w:szCs w:val="20"/>
          <w:lang w:eastAsia="pl-PL"/>
          <w14:ligatures w14:val="none"/>
        </w:rPr>
        <w:t xml:space="preserve"> </w:t>
      </w:r>
      <w:r>
        <w:rPr>
          <w:rFonts w:ascii="Century Gothic" w:eastAsia="Times New Roman" w:hAnsi="Century Gothic" w:cs="Calibri"/>
          <w:w w:val="103"/>
          <w:kern w:val="0"/>
          <w:sz w:val="20"/>
          <w:szCs w:val="20"/>
          <w:lang w:eastAsia="pl-PL"/>
          <w14:ligatures w14:val="none"/>
        </w:rPr>
        <w:t>stwierdzony.</w:t>
      </w:r>
    </w:p>
    <w:p w14:paraId="79999C2E" w14:textId="77777777" w:rsidR="00701496" w:rsidRDefault="00701496" w:rsidP="00701496">
      <w:pPr>
        <w:spacing w:after="0" w:line="276" w:lineRule="auto"/>
        <w:jc w:val="both"/>
        <w:rPr>
          <w:rFonts w:ascii="Century Gothic" w:eastAsia="Calibri" w:hAnsi="Century Gothic" w:cs="Calibri"/>
          <w:kern w:val="0"/>
          <w:sz w:val="20"/>
          <w:szCs w:val="20"/>
          <w:lang w:eastAsia="pl-PL"/>
          <w14:ligatures w14:val="none"/>
        </w:rPr>
      </w:pPr>
      <w:r>
        <w:rPr>
          <w:rFonts w:ascii="Century Gothic" w:eastAsia="Calibri" w:hAnsi="Century Gothic" w:cs="Calibri"/>
          <w:kern w:val="0"/>
          <w:sz w:val="20"/>
          <w:szCs w:val="20"/>
          <w:lang w:eastAsia="pl-PL"/>
          <w14:ligatures w14:val="none"/>
        </w:rPr>
        <w:t xml:space="preserve">4. Dane o wniosku zostały zamieszczone w publicznie dostępnym wykazie danych, </w:t>
      </w:r>
      <w:r>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na stronie internetowej </w:t>
      </w:r>
      <w:r>
        <w:rPr>
          <w:rFonts w:ascii="Century Gothic" w:hAnsi="Century Gothic"/>
          <w:sz w:val="20"/>
          <w:szCs w:val="20"/>
        </w:rPr>
        <w:t>https://gniezno.e-mapa.net/ekoportal/– centrum informacji o środowisku.</w:t>
      </w:r>
    </w:p>
    <w:p w14:paraId="15097857" w14:textId="77777777" w:rsidR="00701496" w:rsidRDefault="00701496" w:rsidP="00701496">
      <w:pPr>
        <w:spacing w:after="0" w:line="276" w:lineRule="auto"/>
        <w:jc w:val="both"/>
        <w:rPr>
          <w:rFonts w:ascii="Century Gothic" w:eastAsia="Times New Roman" w:hAnsi="Century Gothic" w:cs="Times New Roman"/>
          <w:b/>
          <w:kern w:val="0"/>
          <w:sz w:val="20"/>
          <w:szCs w:val="20"/>
          <w14:ligatures w14:val="none"/>
        </w:rPr>
      </w:pPr>
      <w:r>
        <w:rPr>
          <w:rFonts w:ascii="Century Gothic" w:eastAsia="Times New Roman" w:hAnsi="Century Gothic" w:cs="Calibri"/>
          <w:w w:val="103"/>
          <w:kern w:val="0"/>
          <w:sz w:val="20"/>
          <w:szCs w:val="20"/>
          <w14:ligatures w14:val="none"/>
        </w:rPr>
        <w:t xml:space="preserve">5. </w:t>
      </w: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6220.13.2025 z dnia 3 września 2025 r.) o wszczętym w dniu 19 sierpnia 2025 r. postępowaniu w sprawie wydania decyzji o środowiskowych uwarunkowaniach dla wnioskowanego przedsięwzięcia informując o możliwości zapoznania się z aktami sprawy.</w:t>
      </w:r>
    </w:p>
    <w:p w14:paraId="275A5D2D" w14:textId="77777777" w:rsidR="00701496" w:rsidRDefault="00701496" w:rsidP="00701496">
      <w:pPr>
        <w:spacing w:after="0" w:line="276" w:lineRule="auto"/>
        <w:jc w:val="both"/>
        <w:rPr>
          <w:rFonts w:ascii="Century Gothic" w:eastAsia="Calibri" w:hAnsi="Century Gothic" w:cs="Calibri"/>
          <w:sz w:val="20"/>
          <w:szCs w:val="20"/>
        </w:rPr>
      </w:pPr>
      <w:r>
        <w:rPr>
          <w:rFonts w:ascii="Century Gothic" w:eastAsia="Calibri" w:hAnsi="Century Gothic" w:cs="Calibri"/>
          <w:kern w:val="0"/>
          <w:sz w:val="20"/>
          <w:szCs w:val="20"/>
          <w:lang w:eastAsia="pl-PL"/>
          <w14:ligatures w14:val="none"/>
        </w:rPr>
        <w:t xml:space="preserve">6. Zgodnie </w:t>
      </w:r>
      <w:r>
        <w:rPr>
          <w:rFonts w:ascii="Century Gothic" w:eastAsia="Calibri" w:hAnsi="Century Gothic" w:cs="Calibri"/>
          <w:sz w:val="20"/>
          <w:szCs w:val="20"/>
        </w:rPr>
        <w:t xml:space="preserve">z art. 64 ust. 1 pkt 1, 2 i 4, ust. 2, 3 i 4 ustawy z dnia 3 października </w:t>
      </w:r>
      <w:r>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50B54A55" w14:textId="77777777" w:rsidR="00701496" w:rsidRDefault="00701496" w:rsidP="00701496">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Postanowienie Regionalnego Dyrektora Ochrony Środowiska w Poznaniu z dnia 25 listopada 2025 r. znak WOO-IV.4220.1464.2025.KL.3 (data wpływu 25.11.2025 r.), </w:t>
      </w:r>
    </w:p>
    <w:p w14:paraId="55F1878D" w14:textId="77777777" w:rsidR="00701496" w:rsidRDefault="00701496" w:rsidP="00701496">
      <w:pPr>
        <w:numPr>
          <w:ilvl w:val="0"/>
          <w:numId w:val="3"/>
        </w:numPr>
        <w:spacing w:after="0" w:line="276" w:lineRule="auto"/>
        <w:jc w:val="both"/>
        <w:rPr>
          <w:rFonts w:ascii="Century Gothic" w:hAnsi="Century Gothic" w:cs="Calibri"/>
          <w:sz w:val="20"/>
          <w:szCs w:val="20"/>
          <w:lang w:eastAsia="pl-PL"/>
        </w:rPr>
      </w:pPr>
      <w:r>
        <w:rPr>
          <w:rFonts w:ascii="Century Gothic" w:hAnsi="Century Gothic" w:cs="Calibri"/>
          <w:sz w:val="20"/>
          <w:szCs w:val="20"/>
          <w:lang w:eastAsia="pl-PL"/>
        </w:rPr>
        <w:t xml:space="preserve">Opinia sanitarna Państwowego Powiatowego Inspektora Sanitarnego w Gnieźnie z dnia 18 września 2025 r. </w:t>
      </w:r>
      <w:bookmarkStart w:id="1" w:name="_Hlk187313243"/>
      <w:r>
        <w:rPr>
          <w:rFonts w:ascii="Century Gothic" w:hAnsi="Century Gothic" w:cs="Calibri"/>
          <w:sz w:val="20"/>
          <w:szCs w:val="20"/>
          <w:lang w:eastAsia="pl-PL"/>
        </w:rPr>
        <w:t>znak ON-NS.9022.5.60.2025 (data wpływu 18.09.2025 r.)</w:t>
      </w:r>
      <w:bookmarkEnd w:id="1"/>
      <w:r>
        <w:rPr>
          <w:rFonts w:ascii="Century Gothic" w:hAnsi="Century Gothic" w:cs="Calibri"/>
          <w:sz w:val="20"/>
          <w:szCs w:val="20"/>
          <w:lang w:eastAsia="pl-PL"/>
        </w:rPr>
        <w:t xml:space="preserve">, podtrzymana Opinią sanitarną </w:t>
      </w:r>
      <w:r>
        <w:rPr>
          <w:rFonts w:ascii="Century Gothic" w:eastAsia="Times New Roman" w:hAnsi="Century Gothic" w:cs="Calibri"/>
          <w:kern w:val="0"/>
          <w:sz w:val="20"/>
          <w:szCs w:val="20"/>
          <w:lang w:eastAsia="pl-PL"/>
          <w14:ligatures w14:val="none"/>
        </w:rPr>
        <w:t xml:space="preserve">z dnia 6 listopada 2025 r. </w:t>
      </w:r>
      <w:r>
        <w:rPr>
          <w:rFonts w:ascii="Century Gothic" w:hAnsi="Century Gothic" w:cs="Calibri"/>
          <w:sz w:val="20"/>
          <w:szCs w:val="20"/>
          <w:lang w:eastAsia="pl-PL"/>
        </w:rPr>
        <w:t>znak ON-NS.9022.5.60.2025 (data wpływu 6.11.2025 r.),</w:t>
      </w:r>
    </w:p>
    <w:p w14:paraId="2DEA22E9" w14:textId="77777777" w:rsidR="00701496" w:rsidRDefault="00701496" w:rsidP="00701496">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hAnsi="Century Gothic" w:cs="Calibri"/>
          <w:sz w:val="20"/>
          <w:szCs w:val="20"/>
          <w:lang w:eastAsia="pl-PL"/>
        </w:rPr>
        <w:t>Opinia Dyrektora Zarządu Zlewni Wód Polskich w Poznaniu z dnia 22 września 2025 r. znak PO.ZZŚ.4901.390.2025.MS.1 (data wpływu 23.09.2025 r.), podtrzymana Opinią z dnia 12 listopada 2025 r. znak PO.ZZŚ.4901.390.2025.MS.2 (data wpływu 12.11.2025 r.),</w:t>
      </w:r>
    </w:p>
    <w:p w14:paraId="0A4A13B3" w14:textId="77777777" w:rsidR="00701496" w:rsidRDefault="00701496" w:rsidP="00701496">
      <w:pPr>
        <w:spacing w:after="0" w:line="276" w:lineRule="auto"/>
        <w:ind w:left="720"/>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56E25F57" w14:textId="77777777" w:rsidR="00701496" w:rsidRDefault="00701496" w:rsidP="00701496">
      <w:pPr>
        <w:spacing w:after="0" w:line="276" w:lineRule="auto"/>
        <w:jc w:val="both"/>
        <w:rPr>
          <w:rFonts w:ascii="Century Gothic" w:eastAsia="Arial" w:hAnsi="Century Gothic" w:cs="Arial"/>
          <w:sz w:val="20"/>
          <w:szCs w:val="20"/>
        </w:rPr>
      </w:pPr>
      <w:r>
        <w:rPr>
          <w:rFonts w:ascii="Century Gothic" w:eastAsia="Times New Roman" w:hAnsi="Century Gothic" w:cs="Calibri"/>
          <w:kern w:val="0"/>
          <w:sz w:val="20"/>
          <w:szCs w:val="20"/>
          <w:lang w:eastAsia="pl-PL"/>
          <w14:ligatures w14:val="none"/>
        </w:rPr>
        <w:t xml:space="preserve">7. </w:t>
      </w:r>
      <w:r>
        <w:rPr>
          <w:rFonts w:ascii="Century Gothic" w:hAnsi="Century Gothic"/>
          <w:sz w:val="20"/>
          <w:szCs w:val="20"/>
          <w:lang w:eastAsia="pl-PL"/>
        </w:rPr>
        <w:t>Pismem znak</w:t>
      </w:r>
      <w:r>
        <w:rPr>
          <w:rFonts w:ascii="Century Gothic" w:hAnsi="Century Gothic" w:cs="Calibri"/>
          <w:sz w:val="20"/>
          <w:szCs w:val="20"/>
          <w:lang w:eastAsia="pl-PL"/>
        </w:rPr>
        <w:t xml:space="preserve"> WOO-IV.4220.1464.2025.KL.1</w:t>
      </w:r>
      <w:r>
        <w:rPr>
          <w:rFonts w:ascii="Century Gothic" w:hAnsi="Century Gothic"/>
          <w:sz w:val="20"/>
          <w:szCs w:val="20"/>
          <w:lang w:eastAsia="pl-PL"/>
        </w:rPr>
        <w:t xml:space="preserve"> </w:t>
      </w:r>
      <w:r>
        <w:rPr>
          <w:rFonts w:ascii="Century Gothic" w:hAnsi="Century Gothic"/>
          <w:sz w:val="20"/>
          <w:szCs w:val="20"/>
        </w:rPr>
        <w:t xml:space="preserve">z dnia 23 września 2025 r. (data wpływu 23.09.2025 r.), </w:t>
      </w:r>
      <w:r>
        <w:rPr>
          <w:rFonts w:ascii="Century Gothic" w:hAnsi="Century Gothic"/>
          <w:sz w:val="20"/>
          <w:szCs w:val="20"/>
          <w:lang w:eastAsia="pl-PL"/>
        </w:rPr>
        <w:t>Regionalny Dyrektor Ochrony Środowiska w Poznaniu zwrócił</w:t>
      </w:r>
      <w:r>
        <w:rPr>
          <w:rFonts w:ascii="Century Gothic" w:hAnsi="Century Gothic" w:cs="Arial"/>
          <w:sz w:val="20"/>
          <w:szCs w:val="20"/>
        </w:rPr>
        <w:t xml:space="preserve"> się do Wójta Gminy Gniezno z prośbą o przedstawienie informacji, jaki jest faktyczny sposób zagospodarowania i wykorzystania terenów otaczających planowane przedsięwzięcie oraz o wezwanie wnioskodawcy do uzupełnienia karty informacyjnej przedsięwzięcia, określając jednocześnie zakres wezwania. </w:t>
      </w:r>
      <w:r>
        <w:rPr>
          <w:rFonts w:ascii="Century Gothic" w:eastAsia="Arial" w:hAnsi="Century Gothic" w:cs="Arial"/>
          <w:sz w:val="20"/>
          <w:szCs w:val="20"/>
        </w:rPr>
        <w:t>Wymagane uzupełnienie przesłane przez Inwestora, Wójt Gminy Gniezno przekazał Regionalnemu Dyrektorowi Ochrony Środowiska w Poznaniu pismem z dnia 21 października 2025 r. znak OŚR.6220.13.2025. Uzupełnienia karty informacyjnej przedsięwzięcia zostały również przekazane do PPIS w Gnieźnie oraz Dyrektora Zarządu Zlewni Wód Polskich w Poznaniu.</w:t>
      </w:r>
    </w:p>
    <w:p w14:paraId="457077FA" w14:textId="77777777" w:rsidR="00701496" w:rsidRDefault="00701496" w:rsidP="00701496">
      <w:pPr>
        <w:spacing w:after="0" w:line="276" w:lineRule="auto"/>
        <w:jc w:val="both"/>
        <w:rPr>
          <w:rFonts w:ascii="Century Gothic" w:hAnsi="Century Gothic"/>
          <w:sz w:val="20"/>
          <w:szCs w:val="20"/>
          <w:lang w:eastAsia="pl-PL"/>
        </w:rPr>
      </w:pPr>
      <w:r>
        <w:rPr>
          <w:rFonts w:ascii="Century Gothic" w:eastAsia="Arial" w:hAnsi="Century Gothic" w:cs="Arial"/>
          <w:sz w:val="20"/>
          <w:szCs w:val="20"/>
        </w:rPr>
        <w:t xml:space="preserve">8. Wójt Gminy Gniezno w trakcie postępowania informował strony postępowania </w:t>
      </w:r>
      <w:bookmarkStart w:id="2" w:name="_Hlk213139007"/>
      <w:r>
        <w:rPr>
          <w:rFonts w:ascii="Century Gothic" w:eastAsia="Arial" w:hAnsi="Century Gothic" w:cs="Arial"/>
          <w:sz w:val="20"/>
          <w:szCs w:val="20"/>
        </w:rPr>
        <w:t xml:space="preserve">Obwieszczeniem nr OŚR.6220.13.2025 z dnia 24 września 2025 r. </w:t>
      </w:r>
      <w:bookmarkEnd w:id="2"/>
      <w:r>
        <w:rPr>
          <w:rFonts w:ascii="Century Gothic" w:eastAsia="Arial" w:hAnsi="Century Gothic" w:cs="Arial"/>
          <w:sz w:val="20"/>
          <w:szCs w:val="20"/>
        </w:rPr>
        <w:t xml:space="preserve">że decyzja o środowiskowych uwarunkowaniach dla przedmiotowego przedsięwzięcia nie może być wydana w terminie określonym w art. 35 kodeksu postępowania administracyjnego, podając jednocześnie przewidywany termin jej wydania. </w:t>
      </w:r>
    </w:p>
    <w:p w14:paraId="06B796D4"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9. Wójt Gminy Gniezno na podstawie wniosku, karty informacyjnej przedsięwzięcia, po uwzględnieniu stanowisk organów opiniujących oraz dokładnej analizie przesłanek, </w:t>
      </w:r>
      <w:r>
        <w:rPr>
          <w:rFonts w:ascii="Century Gothic" w:eastAsia="Times New Roman" w:hAnsi="Century Gothic" w:cs="Calibri"/>
          <w:kern w:val="0"/>
          <w:sz w:val="20"/>
          <w:szCs w:val="20"/>
          <w:lang w:eastAsia="pl-PL"/>
          <w14:ligatures w14:val="none"/>
        </w:rPr>
        <w:lastRenderedPageBreak/>
        <w:t>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4C21F0CC" w14:textId="77777777" w:rsidR="00701496" w:rsidRDefault="00701496" w:rsidP="00701496">
      <w:pPr>
        <w:numPr>
          <w:ilvl w:val="0"/>
          <w:numId w:val="4"/>
        </w:numPr>
        <w:spacing w:after="0" w:line="276" w:lineRule="auto"/>
        <w:jc w:val="both"/>
        <w:rPr>
          <w:rFonts w:ascii="Century Gothic" w:eastAsia="Times New Roman" w:hAnsi="Century Gothic" w:cs="Calibri"/>
          <w:iCs/>
          <w:kern w:val="0"/>
          <w:sz w:val="20"/>
          <w:szCs w:val="20"/>
          <w:lang w:eastAsia="pl-PL"/>
          <w14:ligatures w14:val="none"/>
        </w:rPr>
      </w:pPr>
      <w:r>
        <w:rPr>
          <w:rFonts w:ascii="Century Gothic" w:eastAsia="Times New Roman" w:hAnsi="Century Gothic" w:cs="Calibri"/>
          <w:b/>
          <w:i/>
          <w:kern w:val="0"/>
          <w:sz w:val="20"/>
          <w:szCs w:val="20"/>
          <w:lang w:eastAsia="pl-PL"/>
          <w14:ligatures w14:val="none"/>
        </w:rPr>
        <w:t xml:space="preserve">rodzaj i charakterystyka przedsięwzięcia </w:t>
      </w:r>
      <w:r>
        <w:rPr>
          <w:rFonts w:ascii="Century Gothic" w:eastAsia="Times New Roman" w:hAnsi="Century Gothic" w:cs="Calibri"/>
          <w:i/>
          <w:kern w:val="0"/>
          <w:sz w:val="20"/>
          <w:szCs w:val="20"/>
          <w:lang w:eastAsia="pl-PL"/>
          <w14:ligatures w14:val="none"/>
        </w:rPr>
        <w:t xml:space="preserve">(art. 63 ust. 1 pkt 1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1"/>
          <w:szCs w:val="21"/>
          <w:lang w:eastAsia="pl-PL"/>
          <w14:ligatures w14:val="none"/>
        </w:rPr>
        <w:t xml:space="preserve"> - </w:t>
      </w:r>
      <w:r>
        <w:rPr>
          <w:rFonts w:ascii="Century Gothic" w:eastAsia="Times New Roman" w:hAnsi="Century Gothic" w:cs="Calibri"/>
          <w:kern w:val="0"/>
          <w:sz w:val="20"/>
          <w:szCs w:val="20"/>
          <w:lang w:eastAsia="pl-PL"/>
          <w14:ligatures w14:val="none"/>
        </w:rPr>
        <w:t>planowane przedsięwzięcie polegać będzie</w:t>
      </w:r>
      <w:r>
        <w:rPr>
          <w:rFonts w:ascii="Century Gothic" w:hAnsi="Century Gothic"/>
          <w:sz w:val="20"/>
          <w:szCs w:val="20"/>
        </w:rPr>
        <w:t xml:space="preserve"> na budowie </w:t>
      </w:r>
      <w:r>
        <w:rPr>
          <w:rFonts w:ascii="Century Gothic" w:hAnsi="Century Gothic" w:cs="Arial"/>
          <w:sz w:val="20"/>
          <w:szCs w:val="20"/>
        </w:rPr>
        <w:t xml:space="preserve">centrum logistycznego z obiektami magazynowo – </w:t>
      </w:r>
      <w:proofErr w:type="spellStart"/>
      <w:r>
        <w:rPr>
          <w:rFonts w:ascii="Century Gothic" w:hAnsi="Century Gothic" w:cs="Arial"/>
          <w:sz w:val="20"/>
          <w:szCs w:val="20"/>
        </w:rPr>
        <w:t>produkcyjno</w:t>
      </w:r>
      <w:proofErr w:type="spellEnd"/>
      <w:r>
        <w:rPr>
          <w:rFonts w:ascii="Century Gothic" w:hAnsi="Century Gothic" w:cs="Arial"/>
          <w:sz w:val="20"/>
          <w:szCs w:val="20"/>
        </w:rPr>
        <w:t xml:space="preserve"> - usługowymi wraz z przestrzeniami biurowo-administracyjnymi, niezbędną infrastrukturą techniczną i towarzyszącą </w:t>
      </w:r>
      <w:r>
        <w:rPr>
          <w:rFonts w:ascii="Century Gothic" w:hAnsi="Century Gothic"/>
          <w:sz w:val="20"/>
          <w:szCs w:val="20"/>
        </w:rPr>
        <w:t xml:space="preserve"> w miejscowości Obora, Gmina Gniezno, działka nr 147/1. </w:t>
      </w:r>
      <w:bookmarkStart w:id="3" w:name="_Hlk206404710"/>
      <w:r>
        <w:rPr>
          <w:rFonts w:ascii="Century Gothic" w:hAnsi="Century Gothic"/>
          <w:sz w:val="20"/>
          <w:szCs w:val="20"/>
        </w:rPr>
        <w:t>Działka, na której planowana jest realizacja przedsięwzięcia ma powierzchnię 10,94 ha, w tym powierzchnie:</w:t>
      </w:r>
    </w:p>
    <w:p w14:paraId="4D1F9B46" w14:textId="77777777" w:rsidR="00701496" w:rsidRDefault="00701496" w:rsidP="00701496">
      <w:pPr>
        <w:pStyle w:val="Default"/>
        <w:numPr>
          <w:ilvl w:val="0"/>
          <w:numId w:val="5"/>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powierzchnia zabudowy łącznie: do 5,55 ha (do 50,7% terenu inwestycji) </w:t>
      </w:r>
    </w:p>
    <w:p w14:paraId="5094AC1D" w14:textId="77777777" w:rsidR="00701496" w:rsidRDefault="00701496" w:rsidP="00701496">
      <w:pPr>
        <w:pStyle w:val="Default"/>
        <w:numPr>
          <w:ilvl w:val="0"/>
          <w:numId w:val="5"/>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powierzchnia utwardzeń łącznie: do 4,29 ha (do 39,2% terenu inwestycji) </w:t>
      </w:r>
    </w:p>
    <w:p w14:paraId="729BACA6" w14:textId="77777777" w:rsidR="00701496" w:rsidRDefault="00701496" w:rsidP="00701496">
      <w:pPr>
        <w:pStyle w:val="Default"/>
        <w:numPr>
          <w:ilvl w:val="0"/>
          <w:numId w:val="5"/>
        </w:numPr>
        <w:spacing w:line="276" w:lineRule="auto"/>
        <w:jc w:val="both"/>
        <w:rPr>
          <w:rFonts w:ascii="Century Gothic" w:hAnsi="Century Gothic"/>
          <w:color w:val="auto"/>
          <w:sz w:val="20"/>
          <w:szCs w:val="20"/>
        </w:rPr>
      </w:pPr>
      <w:r>
        <w:rPr>
          <w:rFonts w:ascii="Century Gothic" w:hAnsi="Century Gothic"/>
          <w:color w:val="auto"/>
          <w:sz w:val="20"/>
          <w:szCs w:val="20"/>
        </w:rPr>
        <w:t>powierzchnia biologicznie czynna (łącznie): min. 1,10 ha (min. 10,1% terenu inwestycji).</w:t>
      </w:r>
    </w:p>
    <w:p w14:paraId="593B4D85" w14:textId="77777777" w:rsidR="00701496" w:rsidRDefault="00701496" w:rsidP="00701496">
      <w:pPr>
        <w:pStyle w:val="Default"/>
        <w:spacing w:line="276" w:lineRule="auto"/>
        <w:ind w:left="708"/>
        <w:jc w:val="both"/>
        <w:rPr>
          <w:rFonts w:ascii="Century Gothic" w:hAnsi="Century Gothic"/>
          <w:color w:val="auto"/>
          <w:sz w:val="20"/>
          <w:szCs w:val="20"/>
        </w:rPr>
      </w:pPr>
      <w:r>
        <w:rPr>
          <w:rFonts w:ascii="Century Gothic" w:hAnsi="Century Gothic"/>
          <w:color w:val="auto"/>
          <w:sz w:val="20"/>
          <w:szCs w:val="20"/>
        </w:rPr>
        <w:t>W ramach planowanego przedsięwzięcia mają powstać:</w:t>
      </w:r>
    </w:p>
    <w:p w14:paraId="5319D2D6" w14:textId="77777777" w:rsidR="00701496" w:rsidRDefault="00701496" w:rsidP="00701496">
      <w:pPr>
        <w:pStyle w:val="Default"/>
        <w:numPr>
          <w:ilvl w:val="0"/>
          <w:numId w:val="6"/>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hale </w:t>
      </w:r>
      <w:proofErr w:type="spellStart"/>
      <w:r>
        <w:rPr>
          <w:rFonts w:ascii="Century Gothic" w:hAnsi="Century Gothic"/>
          <w:color w:val="auto"/>
          <w:sz w:val="20"/>
          <w:szCs w:val="20"/>
        </w:rPr>
        <w:t>magazynowo-produkcyjno-usługowe</w:t>
      </w:r>
      <w:proofErr w:type="spellEnd"/>
      <w:r>
        <w:rPr>
          <w:rFonts w:ascii="Century Gothic" w:hAnsi="Century Gothic"/>
          <w:color w:val="auto"/>
          <w:sz w:val="20"/>
          <w:szCs w:val="20"/>
        </w:rPr>
        <w:t xml:space="preserve"> wraz z segmentami biurowo-socjalnymi oraz częściami pomieszczeń technicznych, </w:t>
      </w:r>
    </w:p>
    <w:p w14:paraId="20BA4EAF" w14:textId="77777777" w:rsidR="00701496" w:rsidRDefault="00701496" w:rsidP="00701496">
      <w:pPr>
        <w:pStyle w:val="Default"/>
        <w:numPr>
          <w:ilvl w:val="0"/>
          <w:numId w:val="7"/>
        </w:numPr>
        <w:spacing w:line="276" w:lineRule="auto"/>
        <w:jc w:val="both"/>
        <w:rPr>
          <w:rFonts w:ascii="Century Gothic" w:hAnsi="Century Gothic"/>
          <w:color w:val="auto"/>
          <w:sz w:val="20"/>
          <w:szCs w:val="20"/>
        </w:rPr>
      </w:pPr>
      <w:r>
        <w:rPr>
          <w:rFonts w:ascii="Century Gothic" w:hAnsi="Century Gothic"/>
          <w:color w:val="auto"/>
          <w:sz w:val="20"/>
          <w:szCs w:val="20"/>
        </w:rPr>
        <w:t>tereny utwardzone (w tym dróg o długości do 2,0 km).</w:t>
      </w:r>
    </w:p>
    <w:p w14:paraId="26695B7A" w14:textId="77777777" w:rsidR="00701496" w:rsidRDefault="00701496" w:rsidP="00701496">
      <w:pPr>
        <w:pStyle w:val="Default"/>
        <w:numPr>
          <w:ilvl w:val="0"/>
          <w:numId w:val="8"/>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budynki pompowni p.poż. wraz ze zbiornikami wody p.poż pojemności min. 950 m³, </w:t>
      </w:r>
    </w:p>
    <w:p w14:paraId="32E7313C" w14:textId="77777777" w:rsidR="00701496" w:rsidRDefault="00701496" w:rsidP="00701496">
      <w:pPr>
        <w:pStyle w:val="Default"/>
        <w:numPr>
          <w:ilvl w:val="0"/>
          <w:numId w:val="8"/>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zbiorniki retencyjne wody opadowej łącznej pojemności min. 1645 m³ dla maksymalnej projektowanej powierzchni szczelnej do 9,84 ha, </w:t>
      </w:r>
    </w:p>
    <w:p w14:paraId="6A58A36F" w14:textId="77777777" w:rsidR="00701496" w:rsidRDefault="00701496" w:rsidP="00701496">
      <w:pPr>
        <w:pStyle w:val="Default"/>
        <w:numPr>
          <w:ilvl w:val="0"/>
          <w:numId w:val="8"/>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zjazdy publiczne, </w:t>
      </w:r>
    </w:p>
    <w:p w14:paraId="6582D4F4" w14:textId="77777777" w:rsidR="00701496" w:rsidRDefault="00701496" w:rsidP="00701496">
      <w:pPr>
        <w:pStyle w:val="Default"/>
        <w:numPr>
          <w:ilvl w:val="0"/>
          <w:numId w:val="8"/>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zbiorniki gazu o pojemności łącznej do 107,2 m³ (LPG/LNG/CNG lub gazu ziemnego) zlokalizowane poza halami (jako opcja rezerwowa), wraz ze stacją </w:t>
      </w:r>
      <w:proofErr w:type="spellStart"/>
      <w:r>
        <w:rPr>
          <w:rFonts w:ascii="Century Gothic" w:hAnsi="Century Gothic"/>
          <w:color w:val="auto"/>
          <w:sz w:val="20"/>
          <w:szCs w:val="20"/>
        </w:rPr>
        <w:t>redukcyjno</w:t>
      </w:r>
      <w:proofErr w:type="spellEnd"/>
      <w:r>
        <w:rPr>
          <w:rFonts w:ascii="Century Gothic" w:hAnsi="Century Gothic"/>
          <w:color w:val="auto"/>
          <w:sz w:val="20"/>
          <w:szCs w:val="20"/>
        </w:rPr>
        <w:t xml:space="preserve">-pomiarową, </w:t>
      </w:r>
    </w:p>
    <w:p w14:paraId="6730899A" w14:textId="77777777" w:rsidR="00701496" w:rsidRDefault="00701496" w:rsidP="00701496">
      <w:pPr>
        <w:pStyle w:val="Default"/>
        <w:numPr>
          <w:ilvl w:val="0"/>
          <w:numId w:val="8"/>
        </w:numPr>
        <w:spacing w:line="276" w:lineRule="auto"/>
        <w:jc w:val="both"/>
        <w:rPr>
          <w:rFonts w:ascii="Century Gothic" w:hAnsi="Century Gothic"/>
          <w:color w:val="auto"/>
          <w:sz w:val="20"/>
          <w:szCs w:val="20"/>
        </w:rPr>
      </w:pPr>
      <w:r>
        <w:rPr>
          <w:rFonts w:ascii="Century Gothic" w:hAnsi="Century Gothic"/>
          <w:color w:val="auto"/>
          <w:sz w:val="20"/>
          <w:szCs w:val="20"/>
        </w:rPr>
        <w:t xml:space="preserve">portierni, </w:t>
      </w:r>
    </w:p>
    <w:p w14:paraId="4C1BC78A" w14:textId="77777777" w:rsidR="00701496" w:rsidRDefault="00701496" w:rsidP="00701496">
      <w:pPr>
        <w:pStyle w:val="Default"/>
        <w:spacing w:line="276" w:lineRule="auto"/>
        <w:jc w:val="both"/>
        <w:rPr>
          <w:rFonts w:ascii="Century Gothic" w:hAnsi="Century Gothic"/>
          <w:color w:val="auto"/>
          <w:sz w:val="20"/>
          <w:szCs w:val="20"/>
        </w:rPr>
      </w:pPr>
      <w:r>
        <w:rPr>
          <w:rFonts w:ascii="Century Gothic" w:hAnsi="Century Gothic"/>
          <w:color w:val="auto"/>
          <w:sz w:val="20"/>
          <w:szCs w:val="20"/>
        </w:rPr>
        <w:t>oraz budowę i przebudowę przyłączy oraz sieci i instalacji niezbędnej infrastruktury technicznej: energetycznej, kanalizacji sanitarnej, kanalizacji deszczowej, teletechnicznej, technologicznej, wody, cieplnej, gazowej.</w:t>
      </w:r>
    </w:p>
    <w:p w14:paraId="60C2D6DE" w14:textId="77777777" w:rsidR="00701496" w:rsidRDefault="00701496" w:rsidP="00701496">
      <w:pPr>
        <w:pStyle w:val="Default"/>
        <w:spacing w:line="276" w:lineRule="auto"/>
        <w:ind w:firstLine="708"/>
        <w:jc w:val="both"/>
        <w:rPr>
          <w:rFonts w:ascii="Century Gothic" w:hAnsi="Century Gothic"/>
          <w:color w:val="auto"/>
          <w:sz w:val="20"/>
          <w:szCs w:val="20"/>
        </w:rPr>
      </w:pPr>
      <w:r>
        <w:rPr>
          <w:rFonts w:ascii="Century Gothic" w:hAnsi="Century Gothic"/>
          <w:color w:val="auto"/>
          <w:sz w:val="20"/>
          <w:szCs w:val="20"/>
        </w:rPr>
        <w:t xml:space="preserve">Na terenie działki nr 147/1 w m. Obora planuje się wzniesienie hali </w:t>
      </w:r>
      <w:proofErr w:type="spellStart"/>
      <w:r>
        <w:rPr>
          <w:rFonts w:ascii="Century Gothic" w:hAnsi="Century Gothic"/>
          <w:color w:val="auto"/>
          <w:sz w:val="20"/>
          <w:szCs w:val="20"/>
        </w:rPr>
        <w:t>magazynowo-produkcyjno-usługowej</w:t>
      </w:r>
      <w:proofErr w:type="spellEnd"/>
      <w:r>
        <w:rPr>
          <w:rFonts w:ascii="Century Gothic" w:hAnsi="Century Gothic"/>
          <w:color w:val="auto"/>
          <w:sz w:val="20"/>
          <w:szCs w:val="20"/>
        </w:rPr>
        <w:t>. Przedmiotowa hala przeznaczona będzie pod wynajem powierzchni do prowadzenia działalności gospodarczej związanej z hurtową sprzedażą artykułów przemysłowych i opakowanych produktów spożywczych, kompletacje, przeładunek, obsługę logistyczną, cross-</w:t>
      </w:r>
      <w:proofErr w:type="spellStart"/>
      <w:r>
        <w:rPr>
          <w:rFonts w:ascii="Century Gothic" w:hAnsi="Century Gothic"/>
          <w:color w:val="auto"/>
          <w:sz w:val="20"/>
          <w:szCs w:val="20"/>
        </w:rPr>
        <w:t>docking</w:t>
      </w:r>
      <w:proofErr w:type="spellEnd"/>
      <w:r>
        <w:rPr>
          <w:rFonts w:ascii="Century Gothic" w:hAnsi="Century Gothic"/>
          <w:color w:val="auto"/>
          <w:sz w:val="20"/>
          <w:szCs w:val="20"/>
        </w:rPr>
        <w:t xml:space="preserve">, usługi dodatkowe (VAS – np. etykietowanie, zgrzewanie przy użyciu maszyny zgrzewającej, budowa displayów, przepakowywanie). Hala może być również przeznaczone pod prowadzenie działalności związanej ze świadczeniem usług w zakresie spedycji i dystrybucji towarów. Hala wyposażona będzie w części lub całości w system wysokiego </w:t>
      </w:r>
      <w:proofErr w:type="spellStart"/>
      <w:r>
        <w:rPr>
          <w:rFonts w:ascii="Century Gothic" w:hAnsi="Century Gothic"/>
          <w:color w:val="auto"/>
          <w:sz w:val="20"/>
          <w:szCs w:val="20"/>
        </w:rPr>
        <w:t>regałowania</w:t>
      </w:r>
      <w:proofErr w:type="spellEnd"/>
      <w:r>
        <w:rPr>
          <w:rFonts w:ascii="Century Gothic" w:hAnsi="Century Gothic"/>
          <w:color w:val="auto"/>
          <w:sz w:val="20"/>
          <w:szCs w:val="20"/>
        </w:rPr>
        <w:t xml:space="preserve">. Obsługa za- i </w:t>
      </w:r>
      <w:proofErr w:type="spellStart"/>
      <w:r>
        <w:rPr>
          <w:rFonts w:ascii="Century Gothic" w:hAnsi="Century Gothic"/>
          <w:color w:val="auto"/>
          <w:sz w:val="20"/>
          <w:szCs w:val="20"/>
        </w:rPr>
        <w:t>wytowarowania</w:t>
      </w:r>
      <w:proofErr w:type="spellEnd"/>
      <w:r>
        <w:rPr>
          <w:rFonts w:ascii="Century Gothic" w:hAnsi="Century Gothic"/>
          <w:color w:val="auto"/>
          <w:sz w:val="20"/>
          <w:szCs w:val="20"/>
        </w:rPr>
        <w:t xml:space="preserve"> odbywać się będzie przy pomocy wózków widłowych elektrycznych (akumulatory kwasowe), żelowych bezobsługowych lub wózków ręcznych. Przewiduje się również możliwość wykorzystania wózków widłowych gazowych, które pracować będą wewnątrz obiektów w obrębie doków załadunkowych. W przypadku wynajęcia hali pod magazyny wysokiego składowania praca w danym obiekcie polegać będzie na rozładunku i dostawie produktów do części magazynowych, gdzie artykuły będą podlegały czasowemu przechowywaniu do momentu dalszej dystrybucji i sprzedaży. Towar składowany będzie na europaletach w opakowaniach zbiorczych, na ogół zabezpieczonych folią. W magazynie zakłada się rozpakowywanie artykułów i ich konfekcję. Części hali mogą być również przeznaczone jako chłodnie/mroźnie pod składowanie hurtowych ilości artykułów spożywczych np. warzyw, nabiału, mięsa, co będzie wiązało się z eksploatacją urządzeń chłodniczych. W częściach hali przeznaczonych na działalność produkcyjną będą odbywać się procesy produkcyjne polegające na obróbce materiałów przy użyciu nożyc krążkowych, polegające na ciągnięciu, gratowaniu taśm, ponadto odbywać się będzie kontrola jakości przy użyciu maszyn zrywających próbki a dalej </w:t>
      </w:r>
      <w:r>
        <w:rPr>
          <w:rFonts w:ascii="Century Gothic" w:hAnsi="Century Gothic"/>
          <w:color w:val="auto"/>
          <w:sz w:val="20"/>
          <w:szCs w:val="20"/>
        </w:rPr>
        <w:lastRenderedPageBreak/>
        <w:t>pakowanie, magazynowanie oraz wysyłka. Przewiduje się również możliwość wynajęcia fragmentu lub całości hali podmiotowi zajmującego się sprzedażą farmaceutyków. W takiej sytuacji w danej części obiektu mogą pojawić się wydzielone przestrzenie przeznaczone pod małe chłodnie. Wnioskodawca zadeklarował, że produkcja i usługi dodatkowe, które mogą być prowadzone w planowanym obiekcie nie będą miały znamion działalności zakładu produkcyjnego oraz, że zakładane procesy produkcyjne nie będą należeć do przedsięwzięć określonych w rozporządzeniu Rady Ministrów z dnia 10 września 2019 r. w sprawie przedsięwzięć mogących znacząco oddziaływać na środowisko. W związku z powyższym w niniejszej decyzji sformułowano warunek dotyczący ograniczenia rodzaju instalacji mogących funkcjonować w planowanym centrum logistycznego z obiektami magazynowo- produkcyjno- usługowymi wraz z przestrzeniami biurowo-administracyjnymi do instalacji niebędących przedsięwzięciami mogącymi znacząco oddziaływać na środowisko. Zgodnie z informacjami zawartymi w karcie informacyjnej planowane przedsięwzięcie może być realizowane etapowo.</w:t>
      </w:r>
    </w:p>
    <w:p w14:paraId="2DB9E568" w14:textId="77777777" w:rsidR="00701496" w:rsidRDefault="00701496" w:rsidP="00701496">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 xml:space="preserve">Z </w:t>
      </w:r>
      <w:proofErr w:type="spellStart"/>
      <w:r>
        <w:rPr>
          <w:rFonts w:ascii="Century Gothic" w:eastAsia="Times New Roman" w:hAnsi="Century Gothic" w:cs="Calibri"/>
          <w:bCs/>
          <w:iCs/>
          <w:kern w:val="0"/>
          <w:sz w:val="20"/>
          <w:szCs w:val="20"/>
          <w:lang w:eastAsia="pl-PL"/>
          <w14:ligatures w14:val="none"/>
        </w:rPr>
        <w:t>k.i.p</w:t>
      </w:r>
      <w:proofErr w:type="spellEnd"/>
      <w:r>
        <w:rPr>
          <w:rFonts w:ascii="Century Gothic" w:eastAsia="Times New Roman" w:hAnsi="Century Gothic" w:cs="Calibri"/>
          <w:bCs/>
          <w:iCs/>
          <w:kern w:val="0"/>
          <w:sz w:val="20"/>
          <w:szCs w:val="20"/>
          <w:lang w:eastAsia="pl-PL"/>
          <w14:ligatures w14:val="none"/>
        </w:rPr>
        <w:t>. wynika, że agregaty prądotwórcze oraz pompy ppoż. będą urządzeniami awaryjnymi, wykorzystywanymi awaryjnie dla funkcji przeciwpożarowych oraz jako zasilanie awaryjne na cele bytowe najemców. W normalnych warunkach funkcjonowania przedsięwzięcia instalacje te nie będą wykorzystywane za wyjątkiem okresowego sprawdzania stanu technicznego silników spalinowych awaryjnych pomp ppoż. i agregatów prądotwórczych (poprzez jego okresowe uruchomienie raz w miesiącu).</w:t>
      </w:r>
    </w:p>
    <w:p w14:paraId="4FA289B1" w14:textId="77777777" w:rsidR="00701496" w:rsidRDefault="00701496" w:rsidP="00701496">
      <w:pPr>
        <w:spacing w:after="0" w:line="276" w:lineRule="auto"/>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Z informacji podanych w karcie informacyjnej przedsięwzięcia i jej uzupełnieniu wynika, że zasilenie w gaz będzie realizowane z sieci gazowej i zbiorników własnych (rezerwa, w zależności od otrzymanych warunków gestora oraz na wypadek awarii). Będą to zarówno zbiorniki gazu naziemne jak i podziemne o łącznej pojemności do 107,2 m³.  Instalacja zbiornikowa ma być zabezpieczeniem awaryjnego ogrzewania budynków i przystosowana będzie do przechowywania schłodzonego skroplonego gazu ziemnego. Gaz płynny przechowywany będzie w hermetycznych zbiornikach uniemożliwiając przedostawanie się gazu do środowiska. Zbiorniki zostaną posadowione na specjalnie wykonanej płycie betonowej i do niej przytwierdzone. Cała instalacja wyposażona będzie we wszystkie niezbędne elementy do kontroli stanu gazu, jego ilości, uzupełnienia zbiornika, aparaturę zabezpieczająco-pomiarową oraz reduktory ciśnienia. Zewnętrznie zostaną pomalowane farbami o zdolności do odbijania promieniowania cieplnego o skuteczności 70%. Podpory zbiorników posiadać będą odporność ogniową. Zbiorniki posiadać będą również certyfikowane zawory bezpieczeństwa z zaworem odcinającym. Podczas napełniania zbiorników gaz pompowany będzie przez samochody dostawcze ze specjalnym szybkozłączem, które uniemożliwia wydostanie się gazu i oparów na zewnątrz. Szczelne, gotowe zbiorniki naziemne wraz z wyposażeniem posadowione zostaną na płycie fundamentowej. Zbiorniki gazu będą podlegać stałemu dozorowi Urzędu Dozoru Technicznego. W przypadku podziemnych zbiorników magazynowych gazu posadowione zostaną one na fundamentach płytowych, które wykonane zostaną na warstwie betonu w uprzednio wykonanych wykopach. Maksymalna głębokość posadowienia określono na 4 m p.p.t.. Zbiorniki (dostarczone do montażu w całości) przymocowane zostaną do fundamentów. Ponadto wnioskodawca przewiduje zastosowanie wanien bezpieczeństwa pod armaturą zbiornika gazu. Wanna wychwytowa zostanie wykonana jako betonowa wanna umożliwiająca wychwycenie wycieku skroplonego gazu ziemnego — a pojemność będzie równa pojemności zbiornika magazynowego.</w:t>
      </w:r>
    </w:p>
    <w:bookmarkEnd w:id="3"/>
    <w:p w14:paraId="29892D02" w14:textId="77777777" w:rsidR="00701496" w:rsidRDefault="00701496" w:rsidP="00701496">
      <w:pPr>
        <w:spacing w:after="0" w:line="276" w:lineRule="auto"/>
        <w:ind w:firstLine="708"/>
        <w:jc w:val="both"/>
        <w:rPr>
          <w:rFonts w:ascii="Century Gothic" w:hAnsi="Century Gothic"/>
          <w:sz w:val="21"/>
          <w:szCs w:val="21"/>
        </w:rPr>
      </w:pPr>
      <w:r>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Pr>
          <w:rFonts w:ascii="Century Gothic" w:hAnsi="Century Gothic"/>
          <w:sz w:val="20"/>
          <w:szCs w:val="20"/>
        </w:rPr>
        <w:t xml:space="preserve"> to zabudowa zagrodowa zlokalizowana w odległości ok. 110 m w kierunku zachodnim od planowanego przedsięwzięcia. </w:t>
      </w:r>
      <w:r>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w:t>
      </w:r>
      <w:r>
        <w:rPr>
          <w:rFonts w:ascii="Century Gothic" w:eastAsia="Times New Roman" w:hAnsi="Century Gothic" w:cs="Times New Roman"/>
          <w:kern w:val="0"/>
          <w:sz w:val="20"/>
          <w:szCs w:val="20"/>
          <w14:ligatures w14:val="none"/>
        </w:rPr>
        <w:lastRenderedPageBreak/>
        <w:t xml:space="preserve">terenie zainwestowania. Źródłem emisji substancji do powietrza będzie niewielka emisja pyłów podczas prowadzenia robót ziemnych. Będą to krótkotrwałe i odwracalne uciążliwości. </w:t>
      </w:r>
      <w:r>
        <w:rPr>
          <w:rFonts w:ascii="Century Gothic" w:hAnsi="Century Gothic"/>
          <w:sz w:val="20"/>
          <w:szCs w:val="20"/>
        </w:rPr>
        <w:t xml:space="preserve">Głównym źródłem hałasu związanym z funkcjonowaniem przedsięwzięcia będzie ruch pojazdów ciężarowych oraz pojazdów lekkich związanych z pracą zakładu 24 godziny na dobę oraz urządzenia energetycznego spalania paliw, ładowanie akumulatorów wózków widłowych oraz eksploatacja 2 spalinowych pomp diesla oraz 2 awaryjnych agregatów prądotwórczych. Ponadto źródłem hałasu związanym z funkcjonowaniem przedsięwzięcia będą wentylatory dachowe i boczne, centrale wentylacyjne, urządzenia do wytwarzania chłodu, agregaty chłodnicze, urządzenia chłodnicze oraz urządzenia gazowe (kotły oraz nagrzewnice gazowe). Zgodnie z przedłożona analizą akustycznego oddziaływania przedsięwzięcia na środowisko wynika,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Założenia dotyczące rodzajów, lokalizacji, liczby i parametrów akustycznych urządzeń, które zostały wyszczególnione w </w:t>
      </w:r>
      <w:proofErr w:type="spellStart"/>
      <w:r>
        <w:rPr>
          <w:rFonts w:ascii="Century Gothic" w:hAnsi="Century Gothic"/>
          <w:sz w:val="20"/>
          <w:szCs w:val="20"/>
        </w:rPr>
        <w:t>k.i.p</w:t>
      </w:r>
      <w:proofErr w:type="spellEnd"/>
      <w:r>
        <w:rPr>
          <w:rFonts w:ascii="Century Gothic" w:hAnsi="Century Gothic"/>
          <w:sz w:val="20"/>
          <w:szCs w:val="20"/>
        </w:rPr>
        <w:t xml:space="preserve">. oraz w danych wejściowych do programu obliczeniowego w przedstawionej analizie akustycznej znalazły odzwierciedlenie w warunkach niniejszej decyzji o środowiskowych uwarunkowaniach zgodnie z opinią Regionalnego Dyrektora Ochrony Środowiska w Poznaniu. </w:t>
      </w:r>
      <w:r>
        <w:t xml:space="preserve"> </w:t>
      </w:r>
    </w:p>
    <w:p w14:paraId="0E907A2D" w14:textId="77777777" w:rsidR="00701496" w:rsidRDefault="00701496" w:rsidP="00701496">
      <w:pPr>
        <w:spacing w:after="0" w:line="276" w:lineRule="auto"/>
        <w:ind w:firstLine="708"/>
        <w:jc w:val="both"/>
        <w:rPr>
          <w:rFonts w:ascii="Century Gothic" w:hAnsi="Century Gothic"/>
          <w:sz w:val="20"/>
          <w:szCs w:val="20"/>
        </w:rPr>
      </w:pPr>
      <w:r>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57ABB8A8" w14:textId="77777777" w:rsidR="00701496" w:rsidRDefault="00701496" w:rsidP="00701496">
      <w:pPr>
        <w:spacing w:after="0" w:line="276" w:lineRule="auto"/>
        <w:ind w:firstLine="708"/>
        <w:jc w:val="both"/>
        <w:rPr>
          <w:rFonts w:ascii="Century Gothic" w:hAnsi="Century Gothic"/>
          <w:sz w:val="20"/>
          <w:szCs w:val="20"/>
        </w:rPr>
      </w:pPr>
      <w:r>
        <w:rPr>
          <w:rFonts w:ascii="Century Gothic" w:hAnsi="Century Gothic"/>
          <w:sz w:val="20"/>
          <w:szCs w:val="20"/>
        </w:rPr>
        <w:t>Uwzględniając realizację przedsięwzięcia zgodnie z obowiązującymi przepisami i normami, ryzyko wystąpienia katastrofy budowlanej będzie ograniczone. Wnioskodawca wskazał również, że planowana instalacja będzie wyposażona w sygnalizację alarmowo-pożarowa oraz instalację p.poż.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71D7FA97" w14:textId="77777777" w:rsidR="00701496" w:rsidRDefault="00701496" w:rsidP="00701496">
      <w:pPr>
        <w:spacing w:after="0" w:line="276" w:lineRule="auto"/>
        <w:ind w:firstLine="708"/>
        <w:jc w:val="both"/>
        <w:rPr>
          <w:rFonts w:ascii="Century Gothic" w:hAnsi="Century Gothic"/>
          <w:sz w:val="21"/>
          <w:szCs w:val="21"/>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w:t>
      </w:r>
      <w:r>
        <w:rPr>
          <w:rFonts w:ascii="Century Gothic" w:hAnsi="Century Gothic"/>
          <w:sz w:val="21"/>
          <w:szCs w:val="21"/>
        </w:rPr>
        <w:t xml:space="preserve"> Zbiorniki będą wykonane z materiału odpornego na agresywne działanie ścieków i zostaną zrealizowane w sąsiedztwie stref buforowych. </w:t>
      </w:r>
      <w:r>
        <w:rPr>
          <w:rFonts w:ascii="Century Gothic" w:hAnsi="Century Gothic"/>
          <w:sz w:val="20"/>
          <w:szCs w:val="20"/>
        </w:rPr>
        <w:t>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Zakłada się jedynie możliwość (potencjalne w zależności od wyboru technologii chłodzenia, może być także bezściekowo) powstawania wód chłodniczych z instalacji chłodniczych w ilości do 1 m</w:t>
      </w:r>
      <w:r>
        <w:rPr>
          <w:rFonts w:ascii="Century Gothic" w:hAnsi="Century Gothic"/>
          <w:sz w:val="20"/>
          <w:szCs w:val="20"/>
          <w:vertAlign w:val="superscript"/>
        </w:rPr>
        <w:t xml:space="preserve">3 </w:t>
      </w:r>
      <w:r>
        <w:rPr>
          <w:rFonts w:ascii="Century Gothic" w:hAnsi="Century Gothic"/>
          <w:sz w:val="20"/>
          <w:szCs w:val="20"/>
        </w:rPr>
        <w:t>/dobę.</w:t>
      </w:r>
      <w:r>
        <w:t xml:space="preserve"> </w:t>
      </w:r>
      <w:r>
        <w:rPr>
          <w:rFonts w:ascii="Century Gothic" w:hAnsi="Century Gothic"/>
          <w:sz w:val="20"/>
          <w:szCs w:val="20"/>
        </w:rPr>
        <w:t>Wody opadowe i roztopowe odprowadzane będą do planowanego szczelnego zbiornika retencyjnego.</w:t>
      </w:r>
      <w:r>
        <w:rPr>
          <w:rFonts w:ascii="Century Gothic" w:hAnsi="Century Gothic"/>
          <w:sz w:val="21"/>
          <w:szCs w:val="21"/>
        </w:rPr>
        <w:t xml:space="preserve"> </w:t>
      </w:r>
      <w:r>
        <w:rPr>
          <w:rFonts w:ascii="Century Gothic" w:hAnsi="Century Gothic"/>
          <w:sz w:val="20"/>
          <w:szCs w:val="20"/>
        </w:rPr>
        <w:t xml:space="preserve">Wody opadowe i roztopowe z ciągów komunikacyjnych, parkingów, placów manewrowych przed odprowadzeniem do zbiornika retencyjnego zostaną podczyszczone w </w:t>
      </w:r>
      <w:r>
        <w:rPr>
          <w:rFonts w:ascii="Century Gothic" w:hAnsi="Century Gothic"/>
          <w:sz w:val="20"/>
          <w:szCs w:val="20"/>
        </w:rPr>
        <w:lastRenderedPageBreak/>
        <w:t xml:space="preserve">osadniku i separatorze substancji ropopochodnych. Dopuszcza się również możliwość odprowadzania wód opadowych i roztopowych do kilku odbiorników (do rowu, do ziemi lub odparowywanie). </w:t>
      </w:r>
    </w:p>
    <w:p w14:paraId="05B572D6" w14:textId="77777777" w:rsidR="00701496" w:rsidRDefault="00701496" w:rsidP="00701496">
      <w:pPr>
        <w:spacing w:after="0" w:line="276" w:lineRule="auto"/>
        <w:ind w:firstLine="708"/>
        <w:jc w:val="both"/>
        <w:rPr>
          <w:rFonts w:ascii="Century Gothic" w:eastAsia="Calibri" w:hAnsi="Century Gothic" w:cs="Arial"/>
          <w:spacing w:val="-1"/>
          <w:sz w:val="20"/>
          <w:szCs w:val="20"/>
          <w:lang w:eastAsia="ar-SA"/>
        </w:rPr>
      </w:pPr>
      <w:r>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1D033883" w14:textId="77777777" w:rsidR="00701496" w:rsidRDefault="00701496" w:rsidP="00701496">
      <w:pPr>
        <w:spacing w:after="0" w:line="276" w:lineRule="auto"/>
        <w:ind w:firstLine="708"/>
        <w:jc w:val="both"/>
        <w:rPr>
          <w:rFonts w:ascii="Century Gothic" w:hAnsi="Century Gothic" w:cs="Calibri"/>
          <w:sz w:val="20"/>
          <w:szCs w:val="20"/>
        </w:rPr>
      </w:pPr>
      <w:r>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w:t>
      </w:r>
      <w:r>
        <w:rPr>
          <w:rFonts w:ascii="Century Gothic" w:hAnsi="Century Gothic"/>
          <w:sz w:val="20"/>
          <w:szCs w:val="20"/>
        </w:rPr>
        <w:t>Wnioskodawca podał również, że odpady będą magazynowane w wyznaczonych i oznakowanych (opisanych) miejscach, zabezpieczonym przed oddziaływaniem warunków atmosferycznych, na szczelnej nawierzchni. Mając na uwadze powyższe nie przewiduje się negatywnego wpływu planowanego przedsięwzięcia na środowisko gruntowo-wodne w rejonie zainwestowania. Celem ochrony środowiska gruntowo-wodnego nałożono na wnioskodawcę warunek, aby na terenie przedsięwzięcia nie były wykonywane naprawy i konserwacje sprzętu budowlanego,</w:t>
      </w:r>
    </w:p>
    <w:p w14:paraId="1F9BB8FB" w14:textId="77777777" w:rsidR="00701496" w:rsidRDefault="00701496" w:rsidP="00701496">
      <w:pPr>
        <w:spacing w:after="0" w:line="276" w:lineRule="auto"/>
        <w:ind w:firstLine="360"/>
        <w:jc w:val="both"/>
        <w:rPr>
          <w:rFonts w:ascii="Century Gothic" w:hAnsi="Century Gothic"/>
          <w:sz w:val="20"/>
          <w:szCs w:val="20"/>
        </w:rPr>
      </w:pPr>
      <w:r>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34144249" w14:textId="77777777" w:rsidR="00701496" w:rsidRDefault="00701496" w:rsidP="00701496">
      <w:pPr>
        <w:numPr>
          <w:ilvl w:val="0"/>
          <w:numId w:val="4"/>
        </w:num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b/>
          <w:i/>
          <w:kern w:val="0"/>
          <w:sz w:val="20"/>
          <w:szCs w:val="20"/>
          <w:lang w:eastAsia="pl-PL"/>
          <w14:ligatures w14:val="none"/>
        </w:rPr>
        <w:t>usytuowanie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2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xml:space="preserve"> – planowane przedsięwzięcie usytuowane będzie na działce nr 147/1 położonej w miejscowości Obora, Gmina Gniezno, na gruntach ornych i częściowo nieużytkach</w:t>
      </w:r>
      <w:r>
        <w:rPr>
          <w:rFonts w:ascii="Century Gothic" w:eastAsia="Times New Roman" w:hAnsi="Century Gothic" w:cs="Calibri"/>
          <w:kern w:val="0"/>
          <w:sz w:val="20"/>
          <w:szCs w:val="20"/>
          <w14:ligatures w14:val="none"/>
        </w:rPr>
        <w:t xml:space="preserve">. W otoczeniu działki znajdują się grunty rolne, droga wojewódzka nr 190 i węzeł drogowy drogi ekspresowej S5. </w:t>
      </w:r>
    </w:p>
    <w:p w14:paraId="083FC0D7" w14:textId="77777777" w:rsidR="00701496" w:rsidRDefault="00701496" w:rsidP="00701496">
      <w:pPr>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lang w:eastAsia="pl-PL"/>
          <w14:ligatures w14:val="none"/>
        </w:rPr>
        <w:t xml:space="preserve">W najbliższym otoczeniu przedsięwzięcia znajdują się grunty rolne, </w:t>
      </w:r>
      <w:r>
        <w:rPr>
          <w:rFonts w:ascii="Century Gothic" w:eastAsia="Times New Roman" w:hAnsi="Century Gothic" w:cs="Calibri"/>
          <w:kern w:val="0"/>
          <w:sz w:val="20"/>
          <w:szCs w:val="20"/>
          <w14:ligatures w14:val="none"/>
        </w:rPr>
        <w:t xml:space="preserve">droga wojewódzka nr 190 i węzeł drogowy drogi ekspresowej S5. </w:t>
      </w:r>
      <w:r>
        <w:rPr>
          <w:rFonts w:ascii="Century Gothic" w:eastAsia="Times New Roman" w:hAnsi="Century Gothic" w:cs="Arial"/>
          <w:bCs/>
          <w:kern w:val="0"/>
          <w:sz w:val="20"/>
          <w:szCs w:val="20"/>
          <w14:ligatures w14:val="none"/>
        </w:rPr>
        <w:t xml:space="preserve">Planowane przedsięwzięcie </w:t>
      </w:r>
      <w:r>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Zgodnie z zapisami miejscowego planu zagospodarowania przestrzennego w granicach terenu objętego wnioskiem o wydanie decyzji o środowiskowych uwarunkowaniach występuje strefa ochrony konserwatorskiej stanowisk archeologicznych. W związku z realizacją przedmiotowego przedsięwzięcia nie przewiduje się przekroczenia standardów jakości środowiska.</w:t>
      </w:r>
    </w:p>
    <w:p w14:paraId="10D5B52D" w14:textId="77777777" w:rsidR="00701496" w:rsidRDefault="00701496" w:rsidP="00701496">
      <w:pPr>
        <w:spacing w:after="0" w:line="276" w:lineRule="auto"/>
        <w:ind w:left="14" w:right="14"/>
        <w:jc w:val="both"/>
        <w:rPr>
          <w:rFonts w:ascii="Century Gothic" w:hAnsi="Century Gothic"/>
          <w:sz w:val="20"/>
          <w:szCs w:val="20"/>
        </w:rPr>
      </w:pPr>
      <w:r>
        <w:rPr>
          <w:rFonts w:ascii="Century Gothic" w:eastAsia="Times New Roman" w:hAnsi="Century Gothic" w:cs="Arial"/>
          <w:kern w:val="0"/>
          <w:sz w:val="20"/>
          <w:szCs w:val="20"/>
          <w14:ligatures w14:val="none"/>
        </w:rPr>
        <w:t xml:space="preserve">Teren przeznaczony pod przedsięwzięcie zlokalizowany jest </w:t>
      </w:r>
      <w:r>
        <w:rPr>
          <w:rFonts w:ascii="Century Gothic" w:hAnsi="Century Gothic" w:cs="Arial"/>
          <w:sz w:val="20"/>
          <w:szCs w:val="20"/>
        </w:rPr>
        <w:t xml:space="preserve">poza obszarami chronionymi na podstawie ustawy z dnia 16 kwietnia 2004 r. o ochronie przyrody (Dz. U. z 2024 r. poz. 1478 ze zm.). Najbliżej położonym obszarem Natura 2000 jest specjalny </w:t>
      </w:r>
      <w:r>
        <w:rPr>
          <w:rFonts w:ascii="Century Gothic" w:hAnsi="Century Gothic"/>
          <w:sz w:val="20"/>
          <w:szCs w:val="20"/>
        </w:rPr>
        <w:t>obszar ochrony siedlisk Grądy w Czerniejewie PLH300049, oddalony o 9,8 km od miejsca realizacji przedsięwzięcia. Na działce znajduje się niewielki rów i zbiornik wodny przeznaczone do likwidacji. Inwentaryzację przyrodniczą przeprowadzono 30 maja 2025 r. (wykonawca: Elżbieta Małkowska). Nie wykazano obecności rzadkich i chronionych gatunków roślin, ani rzadkich gatunków ptaków. Realizacja przedsięwzięcia będzie się wiązać z koniecznością wycinki 400 m</w:t>
      </w:r>
      <w:r>
        <w:rPr>
          <w:rFonts w:ascii="Century Gothic" w:hAnsi="Century Gothic"/>
          <w:sz w:val="20"/>
          <w:szCs w:val="20"/>
          <w:vertAlign w:val="superscript"/>
        </w:rPr>
        <w:t xml:space="preserve">2 </w:t>
      </w:r>
      <w:r>
        <w:rPr>
          <w:rFonts w:ascii="Century Gothic" w:hAnsi="Century Gothic"/>
          <w:sz w:val="20"/>
          <w:szCs w:val="20"/>
        </w:rPr>
        <w:t xml:space="preserve">krzewów bzu czarnego. W celu minimalizacji negatywnych oddziaływań ewentualnej wycinki krzewów na środowisko, mając na uwadze ochronę miejsc lęgowych ptaków, jakimi są krzewy, nałożono warunek ich wycinki poza sezonem lęgowym ptaków, który w Wielkopolsce przypada średnio w okresie od 1 marca do 31 sierpnia. Nasadzenia należy przeprowadzić na powierzchni co </w:t>
      </w:r>
      <w:r>
        <w:rPr>
          <w:rFonts w:ascii="Century Gothic" w:hAnsi="Century Gothic"/>
          <w:sz w:val="20"/>
          <w:szCs w:val="20"/>
        </w:rPr>
        <w:lastRenderedPageBreak/>
        <w:t xml:space="preserve">najmniej równej powierzchni krzewów przeznaczonych do wycinki. Ponadto w celu zapewnienia jak najwyższej skuteczności </w:t>
      </w:r>
      <w:proofErr w:type="spellStart"/>
      <w:r>
        <w:rPr>
          <w:rFonts w:ascii="Century Gothic" w:hAnsi="Century Gothic"/>
          <w:sz w:val="20"/>
          <w:szCs w:val="20"/>
        </w:rPr>
        <w:t>nasadzeń</w:t>
      </w:r>
      <w:proofErr w:type="spellEnd"/>
      <w:r>
        <w:rPr>
          <w:rFonts w:ascii="Century Gothic" w:hAnsi="Century Gothic"/>
          <w:sz w:val="20"/>
          <w:szCs w:val="20"/>
        </w:rPr>
        <w:t xml:space="preserve"> nałożono warunki dotyczące prac pielęgnacyjnych i kontroli udatności </w:t>
      </w:r>
      <w:proofErr w:type="spellStart"/>
      <w:r>
        <w:rPr>
          <w:rFonts w:ascii="Century Gothic" w:hAnsi="Century Gothic"/>
          <w:sz w:val="20"/>
          <w:szCs w:val="20"/>
        </w:rPr>
        <w:t>nasadzeń</w:t>
      </w:r>
      <w:proofErr w:type="spellEnd"/>
      <w:r>
        <w:rPr>
          <w:rFonts w:ascii="Century Gothic" w:hAnsi="Century Gothic"/>
          <w:sz w:val="20"/>
          <w:szCs w:val="20"/>
        </w:rPr>
        <w:t xml:space="preserve">. Nasadzenia krzewów należy przeprowadzić niezależnie od tego czy na wycinkę jest wymagane zezwolenie. Wprowadzanie do środowiska przyrodniczego i przemieszczanie w nim gatunków obcych, zgodnie z art. 7 ust. 1 ustawy z dnia 1 1 sierpnia 2021 r. o gatunkach obcych (Dz. U. poz. 171 8), jest co do zasady zakazane. Choć zakładanie i utrzymanie zieleni na terenie wsi o zwartej zabudowie lub w granicach miast zostało wskazane jako jeden z wyjątków od tego zakazu, warunek </w:t>
      </w:r>
      <w:proofErr w:type="spellStart"/>
      <w:r>
        <w:rPr>
          <w:rFonts w:ascii="Century Gothic" w:hAnsi="Century Gothic"/>
          <w:sz w:val="20"/>
          <w:szCs w:val="20"/>
        </w:rPr>
        <w:t>nasadzeń</w:t>
      </w:r>
      <w:proofErr w:type="spellEnd"/>
      <w:r>
        <w:rPr>
          <w:rFonts w:ascii="Century Gothic" w:hAnsi="Century Gothic"/>
          <w:sz w:val="20"/>
          <w:szCs w:val="20"/>
        </w:rPr>
        <w:t xml:space="preserve"> minimalizujących w oparciu wyłącznie o gatunki rodzime w niniejszym przypadku jest zasadny. Należy mieć na uwadze fakt, że każdy gatunek obcy może w przyszłości stać się gatunkiem zagrażającym rodzimej bioróżnorodności; w odniesieniu do drzew status inwazyjnych zyskały w ostatnich dziesięcioleciach np. jesion pensylwański, dąb czerwony, a regionalnie i lokalnie także bożodrzew gruczołowaty, wiązowiec zachodni, orzech włoski, orzesznik pięciolistkowy. W centralnej części działki znajduje się zbiornik wodny o pow. 0,09 ha przeznaczony do likwidacji. W dniu przeprowadzonych obserwacji terenowych zbiornik był suchy. Do likwidacji przeznaczono również rów, połączony z tym zbiornikiem, o całkowitej długości 85 m. W czasie wizji terenowej nie stwierdzono obecności płazów. W uzupełnieniu </w:t>
      </w:r>
      <w:proofErr w:type="spellStart"/>
      <w:r>
        <w:rPr>
          <w:rFonts w:ascii="Century Gothic" w:hAnsi="Century Gothic"/>
          <w:sz w:val="20"/>
          <w:szCs w:val="20"/>
        </w:rPr>
        <w:t>k.i.p</w:t>
      </w:r>
      <w:proofErr w:type="spellEnd"/>
      <w:r>
        <w:rPr>
          <w:rFonts w:ascii="Century Gothic" w:hAnsi="Century Gothic"/>
          <w:sz w:val="20"/>
          <w:szCs w:val="20"/>
        </w:rPr>
        <w:t>. wskazano, że zostanie wybudowany przy południowo-wschodniej granicy działki nowy zbiornik wodny o powierzchni 50 rn</w:t>
      </w:r>
      <w:r>
        <w:rPr>
          <w:rFonts w:ascii="Century Gothic" w:hAnsi="Century Gothic"/>
          <w:sz w:val="20"/>
          <w:szCs w:val="20"/>
          <w:vertAlign w:val="superscript"/>
        </w:rPr>
        <w:t xml:space="preserve">2 </w:t>
      </w:r>
      <w:r>
        <w:rPr>
          <w:rFonts w:ascii="Century Gothic" w:hAnsi="Century Gothic"/>
          <w:sz w:val="20"/>
          <w:szCs w:val="20"/>
        </w:rPr>
        <w:t xml:space="preserve">, który będzie siedliskiem zastępczym dla płazów. W celu ochrony płazów nałożono warunek likwidacji zbiornika wodnego i rowu melioracyjnego poza okresem rozrodu i migracji płazów. Wiosenny okres migracji dla większości gatunków płazów w Polsce przypada przeciętnie od 15 lutego do końca maja, natomiast jesienny okres migracji przypada przeciętnie od 15 sierpnia do końca października. Budowę nowego zbiornika należy przeprowadzić przed likwidacją istniejącego zbiornika wodnego i rowu melioracyjnego, co pozwoli zachować ciągłość dostępu odpowiednich siedlisk. W celu ochrony płazów i innych drobnych zwierząt przed dostaniem się na teren przedsięwzięcia na etapie jego eksploatacji wnioskodawca przewidział montaż płotków herpetologicznych w dolnej części ogrodzenia centrum logistycznego, co uwzględniono w nałożonych warunkach. Płotki herpetologiczne należy wykonać wzdłuż południowo-wschodniej granicy terenu przedsięwzięcia. Płotki wykonać z </w:t>
      </w:r>
      <w:proofErr w:type="spellStart"/>
      <w:r>
        <w:rPr>
          <w:rFonts w:ascii="Century Gothic" w:hAnsi="Century Gothic"/>
          <w:sz w:val="20"/>
          <w:szCs w:val="20"/>
        </w:rPr>
        <w:t>geotkaniny</w:t>
      </w:r>
      <w:proofErr w:type="spellEnd"/>
      <w:r>
        <w:rPr>
          <w:rFonts w:ascii="Century Gothic" w:hAnsi="Century Gothic"/>
          <w:sz w:val="20"/>
          <w:szCs w:val="20"/>
        </w:rPr>
        <w:t>, o wysokości co najmniej 50 cm nad poziom gruntu z przewieszką w górnej części o szerokości co najmniej 5 cm skierowaną w kierunku przeciwnym do terenu robót i wkopanymi w ziemię na głębokość minimum 10 cm. Płotki herpetologiczne należy w sposób trwały połączyć z ogrodzeniem zakładu. Montaż płotków herpetologicznych oraz budowę zastępczego zbiornika wodnego prowadzić pod nadzorem herpetologicznym. Nałożono także warunek wyprofilowania brzegów zbiornika umożliwiających wydostanie się z niego płazów i innych drobnych zwierząt. Na etapie prowadzenia prac ziemnych w decyzji nałożono warunek regularnych kontroli wykopów i uwalniania uwiezionych w nich zwierząt.</w:t>
      </w:r>
    </w:p>
    <w:p w14:paraId="7194343F" w14:textId="77777777" w:rsidR="00701496" w:rsidRDefault="00701496" w:rsidP="00701496">
      <w:pPr>
        <w:spacing w:after="0" w:line="276" w:lineRule="auto"/>
        <w:jc w:val="both"/>
        <w:rPr>
          <w:rFonts w:ascii="Century Gothic" w:eastAsia="Times New Roman" w:hAnsi="Century Gothic" w:cs="Arial"/>
          <w:kern w:val="0"/>
          <w:sz w:val="20"/>
          <w:szCs w:val="20"/>
          <w14:ligatures w14:val="none"/>
        </w:rPr>
      </w:pPr>
      <w:r>
        <w:rPr>
          <w:rFonts w:ascii="Century Gothic" w:hAnsi="Century Gothic"/>
          <w:sz w:val="20"/>
          <w:szCs w:val="20"/>
        </w:rPr>
        <w:t>Mając na uwadze charakter i lokalizacje przedsięwzięcia, poza obszarami chronionymi, brak konieczności wycinki drzew (tylko krzewy) i realizację zgodnie z nałożonymi 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p>
    <w:p w14:paraId="5DA537DE" w14:textId="77777777" w:rsidR="00701496" w:rsidRDefault="00701496" w:rsidP="00701496">
      <w:pPr>
        <w:spacing w:after="0" w:line="276" w:lineRule="auto"/>
        <w:ind w:firstLine="708"/>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lastRenderedPageBreak/>
        <w:t>Planowane przedsięwzięcie zlokalizowane jest w granicach jednolitej części wód podziemnych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o kodzie GW600042, która charakteryzuje się dobrym stanem ilościowym oraz dobrym stanem chemicznym i jest niezagrożona osiągnięciem celów środowiskowych. Dla </w:t>
      </w:r>
      <w:proofErr w:type="spellStart"/>
      <w:r>
        <w:rPr>
          <w:rFonts w:ascii="Century Gothic" w:eastAsia="Times New Roman" w:hAnsi="Century Gothic" w:cs="Calibri"/>
          <w:kern w:val="0"/>
          <w:sz w:val="20"/>
          <w:szCs w:val="20"/>
          <w:lang w:eastAsia="pl-PL"/>
          <w14:ligatures w14:val="none"/>
        </w:rPr>
        <w:t>JCWPd</w:t>
      </w:r>
      <w:proofErr w:type="spellEnd"/>
      <w:r>
        <w:rPr>
          <w:rFonts w:ascii="Century Gothic" w:eastAsia="Times New Roman" w:hAnsi="Century Gothic" w:cs="Calibri"/>
          <w:kern w:val="0"/>
          <w:sz w:val="20"/>
          <w:szCs w:val="20"/>
          <w:lang w:eastAsia="pl-PL"/>
          <w14:ligatures w14:val="none"/>
        </w:rPr>
        <w:t xml:space="preserve"> GW600042 w „Planie gospodarowania wodami na obszarze dorzecza Odry” określono następujące cele środowiskowe: utrzymanie dobrego stanu chemicznego oraz dobrego stanu ilościowego. </w:t>
      </w:r>
    </w:p>
    <w:p w14:paraId="265D178B" w14:textId="77777777" w:rsidR="00701496" w:rsidRDefault="00701496" w:rsidP="00701496">
      <w:pPr>
        <w:spacing w:after="0" w:line="276" w:lineRule="auto"/>
        <w:ind w:firstLine="708"/>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Teren planowanej inwestycji znajduje się w granicach jednolitych części wód powierzchniowych (JCWP) o kodzie: RW6000181866539 Mała Wełna do jez. </w:t>
      </w:r>
      <w:proofErr w:type="spellStart"/>
      <w:r>
        <w:rPr>
          <w:rFonts w:ascii="Century Gothic" w:eastAsia="Times New Roman" w:hAnsi="Century Gothic" w:cs="Calibri"/>
          <w:kern w:val="0"/>
          <w:sz w:val="20"/>
          <w:szCs w:val="20"/>
          <w:lang w:eastAsia="pl-PL"/>
          <w14:ligatures w14:val="none"/>
        </w:rPr>
        <w:t>Gorzuchowskiego</w:t>
      </w:r>
      <w:proofErr w:type="spellEnd"/>
      <w:r>
        <w:rPr>
          <w:rFonts w:ascii="Century Gothic" w:eastAsia="Times New Roman" w:hAnsi="Century Gothic" w:cs="Calibri"/>
          <w:kern w:val="0"/>
          <w:sz w:val="20"/>
          <w:szCs w:val="20"/>
          <w:lang w:eastAsia="pl-PL"/>
          <w14:ligatures w14:val="none"/>
        </w:rPr>
        <w:t xml:space="preserve"> i posiada status naturalnej części wód, jej stan jest zły i zgodnie z oceną ryzyka nieosiągnięcia celu środowiskowego została określona jako zagrożona. Celem środowiskowym dla tej JCWP jest uzyskanie umiarkowanego stanu ekologicznego i dobrego stanu chemicznego.  </w:t>
      </w:r>
    </w:p>
    <w:p w14:paraId="5C5CE571"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Przedsięwzięcie nie będzie negatywnie wpływać na jednolite części wód i nie będzie także stwarzać zagrożenia dla realizacji celów środowiskowych, o których mowa w art. 56, art. 57, art. 59 i art. 61 ustawy z dnia 20 lipca 2017 r. — Prawo wodne, a określonych dla tych części wód w „Planie gospodarowania wodami na obszarze dorzecza Odry”, przyjętym rozporządzeniem Ministra Infrastruktury z dnia 16 listopada 2022 r. (Dz.U. z 2023 r., poz. 335).</w:t>
      </w:r>
    </w:p>
    <w:p w14:paraId="72DB17DC" w14:textId="77777777" w:rsidR="00701496" w:rsidRDefault="00701496" w:rsidP="00701496">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b/>
          <w:i/>
          <w:kern w:val="0"/>
          <w:sz w:val="20"/>
          <w:szCs w:val="20"/>
          <w:lang w:eastAsia="pl-PL"/>
          <w14:ligatures w14:val="none"/>
        </w:rPr>
        <w:t>rodzaj i skala możliwego oddziaływania przedsięwzięcia</w:t>
      </w:r>
      <w:r>
        <w:rPr>
          <w:rFonts w:ascii="Century Gothic" w:eastAsia="Times New Roman" w:hAnsi="Century Gothic" w:cs="Calibri"/>
          <w:kern w:val="0"/>
          <w:sz w:val="20"/>
          <w:szCs w:val="20"/>
          <w:lang w:eastAsia="pl-PL"/>
          <w14:ligatures w14:val="none"/>
        </w:rPr>
        <w:t xml:space="preserve"> </w:t>
      </w:r>
      <w:r>
        <w:rPr>
          <w:rFonts w:ascii="Century Gothic" w:eastAsia="Times New Roman" w:hAnsi="Century Gothic" w:cs="Calibri"/>
          <w:i/>
          <w:kern w:val="0"/>
          <w:sz w:val="20"/>
          <w:szCs w:val="20"/>
          <w:lang w:eastAsia="pl-PL"/>
          <w14:ligatures w14:val="none"/>
        </w:rPr>
        <w:t xml:space="preserve">(art. 63 ust. 1 pkt 3 ustawy </w:t>
      </w:r>
      <w:proofErr w:type="spellStart"/>
      <w:r>
        <w:rPr>
          <w:rFonts w:ascii="Century Gothic" w:eastAsia="Times New Roman" w:hAnsi="Century Gothic" w:cs="Calibri"/>
          <w:i/>
          <w:kern w:val="0"/>
          <w:sz w:val="20"/>
          <w:szCs w:val="20"/>
          <w:lang w:eastAsia="pl-PL"/>
          <w14:ligatures w14:val="none"/>
        </w:rPr>
        <w:t>ooś</w:t>
      </w:r>
      <w:proofErr w:type="spellEnd"/>
      <w:r>
        <w:rPr>
          <w:rFonts w:ascii="Century Gothic" w:eastAsia="Times New Roman" w:hAnsi="Century Gothic" w:cs="Calibri"/>
          <w:i/>
          <w:kern w:val="0"/>
          <w:sz w:val="20"/>
          <w:szCs w:val="20"/>
          <w:lang w:eastAsia="pl-PL"/>
          <w14:ligatures w14:val="none"/>
        </w:rPr>
        <w:t>)</w:t>
      </w:r>
      <w:r>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5A2F3DC5" w14:textId="77777777" w:rsidR="00701496" w:rsidRDefault="00701496" w:rsidP="00701496">
      <w:pPr>
        <w:numPr>
          <w:ilvl w:val="0"/>
          <w:numId w:val="9"/>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6161894E" w14:textId="77777777" w:rsidR="00701496" w:rsidRDefault="00701496" w:rsidP="00701496">
      <w:pPr>
        <w:numPr>
          <w:ilvl w:val="0"/>
          <w:numId w:val="9"/>
        </w:num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brak transgranicznego oddziaływania, </w:t>
      </w:r>
    </w:p>
    <w:p w14:paraId="75DD4DE6" w14:textId="77777777" w:rsidR="00701496" w:rsidRDefault="00701496" w:rsidP="00701496">
      <w:pPr>
        <w:shd w:val="clear" w:color="auto" w:fill="FFFFFF"/>
        <w:spacing w:after="0" w:line="276" w:lineRule="auto"/>
        <w:jc w:val="both"/>
        <w:rPr>
          <w:rFonts w:ascii="Century Gothic" w:eastAsia="Times New Roman" w:hAnsi="Century Gothic" w:cs="Calibri"/>
          <w:kern w:val="0"/>
          <w:sz w:val="20"/>
          <w:szCs w:val="20"/>
          <w14:ligatures w14:val="none"/>
        </w:rPr>
      </w:pPr>
      <w:r>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46026538"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10. Dla terenu (działka nr 147/1 położona w miejscowości Obora), na którym ma być zlokalizowane przedsięwzięcie istnieje uchwalony miejscowy plan zagospodarowania przestrzennego. Przedmiotowe przedsięwzięcie jest zgodne z ustaleniami miejscowego planu zagospodarowania przestrzennego uchwalonego uchwałą Rady Gminy Gniezno nr XIII/100/2025 z dnia 20 marca 2025 roku. </w:t>
      </w:r>
    </w:p>
    <w:p w14:paraId="64F1E823"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11.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2F637BE7" w14:textId="77777777" w:rsidR="00701496" w:rsidRDefault="00701496" w:rsidP="00701496">
      <w:pPr>
        <w:spacing w:after="0" w:line="276" w:lineRule="auto"/>
        <w:jc w:val="both"/>
        <w:rPr>
          <w:rFonts w:ascii="Century Gothic" w:eastAsia="Times New Roman" w:hAnsi="Century Gothic" w:cs="Calibri"/>
          <w:kern w:val="0"/>
          <w:sz w:val="20"/>
          <w:szCs w:val="20"/>
          <w:lang w:eastAsia="pl-PL"/>
          <w14:ligatures w14:val="none"/>
        </w:rPr>
      </w:pPr>
      <w:r>
        <w:rPr>
          <w:rFonts w:ascii="Century Gothic" w:eastAsia="Times New Roman" w:hAnsi="Century Gothic" w:cs="Calibri"/>
          <w:kern w:val="0"/>
          <w:sz w:val="20"/>
          <w:szCs w:val="20"/>
          <w:lang w:eastAsia="pl-PL"/>
          <w14:ligatures w14:val="none"/>
        </w:rPr>
        <w:t xml:space="preserve">12.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16952A0F" w14:textId="77777777" w:rsidR="00701496" w:rsidRDefault="00701496" w:rsidP="00701496">
      <w:pPr>
        <w:spacing w:after="120" w:line="240" w:lineRule="auto"/>
        <w:jc w:val="center"/>
        <w:rPr>
          <w:rFonts w:ascii="Century Gothic" w:eastAsia="Times New Roman" w:hAnsi="Century Gothic" w:cs="Times New Roman"/>
          <w:b/>
          <w:bCs/>
          <w:kern w:val="0"/>
          <w:sz w:val="21"/>
          <w:szCs w:val="21"/>
          <w:lang w:eastAsia="pl-PL"/>
          <w14:ligatures w14:val="none"/>
        </w:rPr>
      </w:pPr>
    </w:p>
    <w:p w14:paraId="737B2C75" w14:textId="77777777" w:rsidR="00701496" w:rsidRDefault="00701496" w:rsidP="00701496">
      <w:pPr>
        <w:spacing w:after="120" w:line="240" w:lineRule="auto"/>
        <w:jc w:val="center"/>
        <w:rPr>
          <w:rFonts w:ascii="Century Gothic" w:eastAsia="Times New Roman" w:hAnsi="Century Gothic" w:cs="Times New Roman"/>
          <w:b/>
          <w:bCs/>
          <w:kern w:val="0"/>
          <w:sz w:val="21"/>
          <w:szCs w:val="21"/>
          <w:lang w:eastAsia="pl-PL"/>
          <w14:ligatures w14:val="none"/>
        </w:rPr>
      </w:pPr>
      <w:r>
        <w:rPr>
          <w:rFonts w:ascii="Century Gothic" w:eastAsia="Times New Roman" w:hAnsi="Century Gothic" w:cs="Times New Roman"/>
          <w:b/>
          <w:bCs/>
          <w:kern w:val="0"/>
          <w:sz w:val="21"/>
          <w:szCs w:val="21"/>
          <w:lang w:eastAsia="pl-PL"/>
          <w14:ligatures w14:val="none"/>
        </w:rPr>
        <w:t>Pouczenie</w:t>
      </w:r>
    </w:p>
    <w:p w14:paraId="57656862"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68625662"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1F98E530"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lastRenderedPageBreak/>
        <w:t>Z dniem doręczenia organowi administracji publicznej oświadczenia o zrzeczeniu się prawa do wniesienia odwołania przez ostatnią ze stron postępowania, decyzja staje się ostateczna i prawomocna.</w:t>
      </w:r>
    </w:p>
    <w:p w14:paraId="479D3861"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7588C830"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1B74C94F"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6A5B9684" w14:textId="77777777" w:rsidR="00701496" w:rsidRDefault="00701496" w:rsidP="00701496">
      <w:pPr>
        <w:numPr>
          <w:ilvl w:val="0"/>
          <w:numId w:val="10"/>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2023 r. poz. 2111/.</w:t>
      </w:r>
    </w:p>
    <w:p w14:paraId="56AA3658"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5AF3B97D"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531FE359"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0961BF9A"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06002A80"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4F6B22C7"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5C22018F"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1FA2BFEA"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41A93C3D"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1478CDE6"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797FACF2"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321AA931"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43D97838"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08E5D7C3"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7492F807"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45421A7B"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13FEB6EE"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2DBC7E90"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33501356"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p>
    <w:p w14:paraId="2202867D"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55EE1E62" w14:textId="77777777" w:rsidR="00701496" w:rsidRDefault="00701496" w:rsidP="00701496">
      <w:pPr>
        <w:numPr>
          <w:ilvl w:val="0"/>
          <w:numId w:val="11"/>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2B107F8D" w14:textId="77777777" w:rsidR="00701496" w:rsidRDefault="00701496" w:rsidP="00701496">
      <w:pPr>
        <w:numPr>
          <w:ilvl w:val="0"/>
          <w:numId w:val="11"/>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32FA17EB" w14:textId="77777777" w:rsidR="00701496" w:rsidRDefault="00701496" w:rsidP="00701496">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3F746817" w14:textId="77777777" w:rsidR="00701496" w:rsidRDefault="00701496" w:rsidP="00701496">
      <w:pPr>
        <w:numPr>
          <w:ilvl w:val="0"/>
          <w:numId w:val="12"/>
        </w:numPr>
        <w:spacing w:after="0" w:line="276" w:lineRule="auto"/>
        <w:jc w:val="both"/>
        <w:rPr>
          <w:rFonts w:ascii="Century Gothic" w:eastAsia="Times New Roman" w:hAnsi="Century Gothic" w:cs="Times New Roman"/>
          <w:color w:val="EE0000"/>
          <w:kern w:val="0"/>
          <w:sz w:val="18"/>
          <w:szCs w:val="21"/>
          <w:lang w:eastAsia="pl-PL"/>
          <w14:ligatures w14:val="none"/>
        </w:rPr>
      </w:pPr>
      <w:r>
        <w:rPr>
          <w:rFonts w:ascii="Century Gothic" w:eastAsia="Times New Roman" w:hAnsi="Century Gothic" w:cs="Times New Roman"/>
          <w:color w:val="EE0000"/>
          <w:kern w:val="0"/>
          <w:sz w:val="18"/>
          <w:szCs w:val="21"/>
          <w:lang w:eastAsia="pl-PL"/>
          <w14:ligatures w14:val="none"/>
        </w:rPr>
        <w:t>Regionalny Dyrektor Ochrony Środowiska w Poznaniu, ul. Kościuszki 57, 61-891 Poznań</w:t>
      </w:r>
    </w:p>
    <w:p w14:paraId="6FCA0C66" w14:textId="77777777" w:rsidR="00701496" w:rsidRDefault="00701496" w:rsidP="00701496">
      <w:pPr>
        <w:numPr>
          <w:ilvl w:val="0"/>
          <w:numId w:val="12"/>
        </w:numPr>
        <w:spacing w:after="0" w:line="276" w:lineRule="auto"/>
        <w:jc w:val="both"/>
        <w:rPr>
          <w:rFonts w:ascii="Century Gothic" w:eastAsia="Times New Roman" w:hAnsi="Century Gothic" w:cs="Times New Roman"/>
          <w:color w:val="EE0000"/>
          <w:kern w:val="0"/>
          <w:sz w:val="18"/>
          <w:szCs w:val="21"/>
          <w:lang w:eastAsia="pl-PL"/>
          <w14:ligatures w14:val="none"/>
        </w:rPr>
      </w:pPr>
      <w:r>
        <w:rPr>
          <w:rFonts w:ascii="Century Gothic" w:eastAsia="Times New Roman" w:hAnsi="Century Gothic" w:cs="Times New Roman"/>
          <w:color w:val="EE0000"/>
          <w:kern w:val="0"/>
          <w:sz w:val="18"/>
          <w:szCs w:val="21"/>
          <w:lang w:eastAsia="pl-PL"/>
          <w14:ligatures w14:val="none"/>
        </w:rPr>
        <w:t>Państwowy Powiatowy Inspektor Sanitarny w Gnieźnie, ul. Św. Wawrzyńca 18, 62-200 Gniezno</w:t>
      </w:r>
    </w:p>
    <w:p w14:paraId="354AA149" w14:textId="77777777" w:rsidR="00701496" w:rsidRDefault="00701496" w:rsidP="00701496">
      <w:pPr>
        <w:numPr>
          <w:ilvl w:val="0"/>
          <w:numId w:val="12"/>
        </w:numPr>
        <w:spacing w:after="0" w:line="276" w:lineRule="auto"/>
        <w:jc w:val="both"/>
        <w:rPr>
          <w:rFonts w:ascii="Century Gothic" w:eastAsia="Times New Roman" w:hAnsi="Century Gothic" w:cs="Times New Roman"/>
          <w:color w:val="EE0000"/>
          <w:kern w:val="0"/>
          <w:sz w:val="18"/>
          <w:szCs w:val="21"/>
          <w14:ligatures w14:val="none"/>
        </w:rPr>
      </w:pPr>
      <w:r>
        <w:rPr>
          <w:rFonts w:ascii="Century Gothic" w:eastAsia="Times New Roman" w:hAnsi="Century Gothic" w:cs="Times New Roman"/>
          <w:color w:val="EE0000"/>
          <w:kern w:val="0"/>
          <w:sz w:val="18"/>
          <w:szCs w:val="21"/>
          <w:lang w:eastAsia="pl-PL"/>
          <w14:ligatures w14:val="none"/>
        </w:rPr>
        <w:t>Dyrektor Zarządu Zlewni Wód Polskich w Poznaniu, ul. Szewska 1, 61-760 Poznań</w:t>
      </w:r>
    </w:p>
    <w:p w14:paraId="0B1A4DA8"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0B21DB3C"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2CE43EED"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4B4ED16E"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29C53FCE" w14:textId="77777777" w:rsidR="00701496" w:rsidRDefault="00701496" w:rsidP="00701496">
      <w:pPr>
        <w:spacing w:after="0" w:line="276" w:lineRule="auto"/>
        <w:rPr>
          <w:rFonts w:ascii="Century Gothic" w:eastAsia="Times New Roman" w:hAnsi="Century Gothic" w:cs="Times New Roman"/>
          <w:b/>
          <w:kern w:val="0"/>
          <w:sz w:val="19"/>
          <w:szCs w:val="19"/>
          <w:lang w:eastAsia="pl-PL"/>
          <w14:ligatures w14:val="none"/>
        </w:rPr>
      </w:pPr>
    </w:p>
    <w:p w14:paraId="0F2D8952"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60F9CD34"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6A42297E"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073EAC4E"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0A64E489"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5BA01816"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27C8E64D"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6137D76F"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3650B7C2"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p>
    <w:p w14:paraId="51A65FAC" w14:textId="77777777" w:rsidR="00701496" w:rsidRDefault="00701496" w:rsidP="00701496">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OŚR.6220.13.2025 z dnia 30 grudnia 2025 roku</w:t>
      </w:r>
    </w:p>
    <w:p w14:paraId="76B12D49" w14:textId="77777777" w:rsidR="00701496" w:rsidRDefault="00701496" w:rsidP="00701496">
      <w:pPr>
        <w:spacing w:after="0" w:line="276" w:lineRule="auto"/>
        <w:rPr>
          <w:rFonts w:ascii="Century Gothic" w:eastAsia="Times New Roman" w:hAnsi="Century Gothic" w:cs="Times New Roman"/>
          <w:bCs/>
          <w:kern w:val="0"/>
          <w:sz w:val="21"/>
          <w:szCs w:val="21"/>
          <w:lang w:eastAsia="pl-PL"/>
          <w14:ligatures w14:val="none"/>
        </w:rPr>
      </w:pPr>
    </w:p>
    <w:p w14:paraId="062347A1" w14:textId="77777777" w:rsidR="00701496" w:rsidRDefault="00701496" w:rsidP="00701496">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127F9394" w14:textId="77777777" w:rsidR="00701496" w:rsidRDefault="00701496" w:rsidP="00701496">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434D4F0F"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eastAsia="Times New Roman" w:hAnsi="Century Gothic" w:cs="Calibri"/>
          <w:bCs/>
          <w:kern w:val="0"/>
          <w:sz w:val="21"/>
          <w:szCs w:val="21"/>
          <w:lang w:eastAsia="pl-PL"/>
          <w14:ligatures w14:val="none"/>
        </w:rPr>
        <w:t>Planowane przedsięwzięcie polegać będzie</w:t>
      </w:r>
      <w:r>
        <w:rPr>
          <w:rFonts w:ascii="Century Gothic" w:hAnsi="Century Gothic"/>
          <w:bCs/>
          <w:sz w:val="21"/>
          <w:szCs w:val="21"/>
        </w:rPr>
        <w:t xml:space="preserve"> na </w:t>
      </w:r>
      <w:r>
        <w:rPr>
          <w:rFonts w:ascii="Century Gothic" w:hAnsi="Century Gothic"/>
          <w:bCs/>
          <w:sz w:val="20"/>
          <w:szCs w:val="20"/>
        </w:rPr>
        <w:t xml:space="preserve">budowie </w:t>
      </w:r>
      <w:r>
        <w:rPr>
          <w:rFonts w:ascii="Century Gothic" w:hAnsi="Century Gothic" w:cs="Arial"/>
          <w:bCs/>
          <w:sz w:val="20"/>
          <w:szCs w:val="20"/>
        </w:rPr>
        <w:t xml:space="preserve">centrum logistycznego z obiektami magazynowo – </w:t>
      </w:r>
      <w:proofErr w:type="spellStart"/>
      <w:r>
        <w:rPr>
          <w:rFonts w:ascii="Century Gothic" w:hAnsi="Century Gothic" w:cs="Arial"/>
          <w:bCs/>
          <w:sz w:val="20"/>
          <w:szCs w:val="20"/>
        </w:rPr>
        <w:t>produkcyjno</w:t>
      </w:r>
      <w:proofErr w:type="spellEnd"/>
      <w:r>
        <w:rPr>
          <w:rFonts w:ascii="Century Gothic" w:hAnsi="Century Gothic" w:cs="Arial"/>
          <w:bCs/>
          <w:sz w:val="20"/>
          <w:szCs w:val="20"/>
        </w:rPr>
        <w:t xml:space="preserve"> - usługowymi wraz z przestrzeniami biurowo-administracyjnymi, niezbędną infrastrukturą techniczną i towarzyszącą </w:t>
      </w:r>
      <w:r>
        <w:rPr>
          <w:rFonts w:ascii="Century Gothic" w:hAnsi="Century Gothic"/>
          <w:bCs/>
          <w:sz w:val="20"/>
          <w:szCs w:val="20"/>
        </w:rPr>
        <w:t xml:space="preserve"> w miejscowości Obora, Gmina Gniezno, działka nr 147/1.</w:t>
      </w:r>
      <w:r>
        <w:t xml:space="preserve"> </w:t>
      </w:r>
      <w:r>
        <w:rPr>
          <w:rFonts w:ascii="Century Gothic" w:hAnsi="Century Gothic"/>
          <w:bCs/>
          <w:sz w:val="20"/>
          <w:szCs w:val="20"/>
        </w:rPr>
        <w:t>Działka, na której planowana jest realizacja przedsięwzięcia ma powierzchnię 10,94 ha, w tym powierzchnie:</w:t>
      </w:r>
    </w:p>
    <w:p w14:paraId="07DED86E"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powierzchnia zabudowy łącznie: do 5,55 ha (do 50,7% terenu inwestycji) </w:t>
      </w:r>
    </w:p>
    <w:p w14:paraId="0B21AF9B"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powierzchnia utwardzeń łącznie: do 4,29 ha (do 39,2% terenu inwestycji) </w:t>
      </w:r>
    </w:p>
    <w:p w14:paraId="265A9744"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powierzchnia biologicznie czynna (łącznie): min. 1,10 ha (min. 10,1% terenu inwestycji).</w:t>
      </w:r>
    </w:p>
    <w:p w14:paraId="7C69C9E4"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 ramach planowanego przedsięwzięcia mają powstać:</w:t>
      </w:r>
    </w:p>
    <w:p w14:paraId="017326E5"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hale </w:t>
      </w:r>
      <w:proofErr w:type="spellStart"/>
      <w:r>
        <w:rPr>
          <w:rFonts w:ascii="Century Gothic" w:hAnsi="Century Gothic"/>
          <w:bCs/>
          <w:sz w:val="20"/>
          <w:szCs w:val="20"/>
        </w:rPr>
        <w:t>magazynowo-produkcyjno-usługowe</w:t>
      </w:r>
      <w:proofErr w:type="spellEnd"/>
      <w:r>
        <w:rPr>
          <w:rFonts w:ascii="Century Gothic" w:hAnsi="Century Gothic"/>
          <w:bCs/>
          <w:sz w:val="20"/>
          <w:szCs w:val="20"/>
        </w:rPr>
        <w:t xml:space="preserve"> wraz z segmentami biurowo-socjalnymi oraz częściami pomieszczeń technicznych, </w:t>
      </w:r>
    </w:p>
    <w:p w14:paraId="39A7C46E"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tereny utwardzone (w tym dróg o długości do 2,0 km).</w:t>
      </w:r>
    </w:p>
    <w:p w14:paraId="7427945D"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budynki pompowni p.poż. wraz ze zbiornikami wody p.poż pojemności min. 950 m³, </w:t>
      </w:r>
    </w:p>
    <w:p w14:paraId="2D73A860"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zbiorniki retencyjne wody opadowej łącznej pojemności min. 1645 m³ dla maksymalnej projektowanej powierzchni szczelnej do 9,84 ha, </w:t>
      </w:r>
    </w:p>
    <w:p w14:paraId="490F36A1"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zjazdy publiczne, </w:t>
      </w:r>
    </w:p>
    <w:p w14:paraId="67AF8A77"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zbiorniki gazu o pojemności łącznej do 107,2 m³ (LPG/LNG/CNG lub gazu ziemnego) zlokalizowane poza halami (jako opcja rezerwowa), wraz ze stacją </w:t>
      </w:r>
      <w:proofErr w:type="spellStart"/>
      <w:r>
        <w:rPr>
          <w:rFonts w:ascii="Century Gothic" w:hAnsi="Century Gothic"/>
          <w:bCs/>
          <w:sz w:val="20"/>
          <w:szCs w:val="20"/>
        </w:rPr>
        <w:t>redukcyjno</w:t>
      </w:r>
      <w:proofErr w:type="spellEnd"/>
      <w:r>
        <w:rPr>
          <w:rFonts w:ascii="Century Gothic" w:hAnsi="Century Gothic"/>
          <w:bCs/>
          <w:sz w:val="20"/>
          <w:szCs w:val="20"/>
        </w:rPr>
        <w:t xml:space="preserve">-pomiarową, </w:t>
      </w:r>
    </w:p>
    <w:p w14:paraId="545FD81D" w14:textId="77777777" w:rsidR="00701496" w:rsidRDefault="00701496" w:rsidP="00701496">
      <w:pPr>
        <w:spacing w:after="0" w:line="276" w:lineRule="auto"/>
        <w:ind w:firstLine="708"/>
        <w:jc w:val="both"/>
        <w:rPr>
          <w:rFonts w:ascii="Century Gothic" w:hAnsi="Century Gothic"/>
          <w:bCs/>
          <w:sz w:val="20"/>
          <w:szCs w:val="20"/>
        </w:rPr>
      </w:pPr>
      <w:r>
        <w:rPr>
          <w:rFonts w:ascii="Century Gothic" w:hAnsi="Century Gothic"/>
          <w:bCs/>
          <w:sz w:val="20"/>
          <w:szCs w:val="20"/>
        </w:rPr>
        <w:t>•</w:t>
      </w:r>
      <w:r>
        <w:rPr>
          <w:rFonts w:ascii="Century Gothic" w:hAnsi="Century Gothic"/>
          <w:bCs/>
          <w:sz w:val="20"/>
          <w:szCs w:val="20"/>
        </w:rPr>
        <w:tab/>
        <w:t xml:space="preserve">portierni, </w:t>
      </w:r>
    </w:p>
    <w:p w14:paraId="7BF2A50D" w14:textId="77777777" w:rsidR="00701496" w:rsidRDefault="00701496" w:rsidP="00701496">
      <w:pPr>
        <w:spacing w:after="0" w:line="276" w:lineRule="auto"/>
        <w:ind w:firstLine="708"/>
        <w:jc w:val="both"/>
        <w:rPr>
          <w:rFonts w:ascii="Century Gothic" w:hAnsi="Century Gothic"/>
          <w:bCs/>
          <w:iCs/>
          <w:sz w:val="20"/>
          <w:szCs w:val="20"/>
        </w:rPr>
      </w:pPr>
      <w:r>
        <w:rPr>
          <w:rFonts w:ascii="Century Gothic" w:hAnsi="Century Gothic"/>
          <w:bCs/>
          <w:sz w:val="20"/>
          <w:szCs w:val="20"/>
        </w:rPr>
        <w:t>oraz budowę i przebudowę przyłączy oraz sieci i instalacji niezbędnej infrastruktury technicznej: energetycznej, kanalizacji sanitarnej, kanalizacji deszczowej, teletechnicznej, technologicznej, wody, cieplnej, gazowej.</w:t>
      </w:r>
    </w:p>
    <w:p w14:paraId="26B2DFBB" w14:textId="77777777" w:rsidR="00701496" w:rsidRDefault="00701496" w:rsidP="00701496">
      <w:pPr>
        <w:autoSpaceDE w:val="0"/>
        <w:autoSpaceDN w:val="0"/>
        <w:adjustRightInd w:val="0"/>
        <w:spacing w:after="0" w:line="276" w:lineRule="auto"/>
        <w:ind w:firstLine="709"/>
        <w:jc w:val="both"/>
        <w:rPr>
          <w:rFonts w:ascii="Century Gothic" w:eastAsia="Times New Roman" w:hAnsi="Century Gothic" w:cs="Calibri"/>
          <w:bCs/>
          <w:iCs/>
          <w:kern w:val="0"/>
          <w:sz w:val="20"/>
          <w:szCs w:val="20"/>
          <w:lang w:eastAsia="pl-PL"/>
          <w14:ligatures w14:val="none"/>
        </w:rPr>
      </w:pPr>
      <w:r>
        <w:rPr>
          <w:rFonts w:ascii="Century Gothic" w:eastAsia="Times New Roman" w:hAnsi="Century Gothic" w:cs="Calibri"/>
          <w:bCs/>
          <w:iCs/>
          <w:kern w:val="0"/>
          <w:sz w:val="20"/>
          <w:szCs w:val="20"/>
          <w:lang w:eastAsia="pl-PL"/>
          <w14:ligatures w14:val="none"/>
        </w:rPr>
        <w:t>Gospodarowanie odpadami na etapie realizacji i eksploatacji przedmiotowego przedsięwzięcia powinno odbywać się na zasadach określonych w aktualnie obowiązujących przepisach szczegółowych.</w:t>
      </w:r>
    </w:p>
    <w:p w14:paraId="373DD416" w14:textId="77777777" w:rsidR="00701496" w:rsidRDefault="00701496" w:rsidP="00701496">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Pr>
          <w:rFonts w:ascii="Century Gothic" w:hAnsi="Century Gothic"/>
          <w:sz w:val="20"/>
          <w:szCs w:val="20"/>
        </w:rPr>
        <w:t xml:space="preserve">Woda dla celów </w:t>
      </w:r>
      <w:proofErr w:type="spellStart"/>
      <w:r>
        <w:rPr>
          <w:rFonts w:ascii="Century Gothic" w:hAnsi="Century Gothic"/>
          <w:sz w:val="20"/>
          <w:szCs w:val="20"/>
        </w:rPr>
        <w:t>socjalno</w:t>
      </w:r>
      <w:proofErr w:type="spellEnd"/>
      <w:r>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59FE30F3" w14:textId="77777777" w:rsidR="00701496" w:rsidRDefault="00701496" w:rsidP="00701496">
      <w:pPr>
        <w:autoSpaceDE w:val="0"/>
        <w:autoSpaceDN w:val="0"/>
        <w:adjustRightInd w:val="0"/>
        <w:spacing w:after="0" w:line="276" w:lineRule="auto"/>
        <w:ind w:firstLine="708"/>
        <w:jc w:val="both"/>
        <w:rPr>
          <w:rFonts w:ascii="Century Gothic" w:hAnsi="Century Gothic"/>
          <w:sz w:val="20"/>
          <w:szCs w:val="20"/>
        </w:rPr>
      </w:pPr>
      <w:r>
        <w:rPr>
          <w:rFonts w:ascii="Century Gothic" w:hAnsi="Century Gothic"/>
          <w:sz w:val="20"/>
          <w:szCs w:val="20"/>
        </w:rPr>
        <w:t xml:space="preserve">Przedsięwzięcie zostanie zlokalizowane poza obszarem Natura 2000 - specjalnym obszarze ochrony siedlisk Pojezierze Gnieźnieńskie PLH300026. </w:t>
      </w:r>
    </w:p>
    <w:p w14:paraId="07A8B5C5" w14:textId="77777777" w:rsidR="00701496" w:rsidRDefault="00701496" w:rsidP="00701496">
      <w:pPr>
        <w:autoSpaceDE w:val="0"/>
        <w:autoSpaceDN w:val="0"/>
        <w:adjustRightInd w:val="0"/>
        <w:spacing w:after="0" w:line="276" w:lineRule="auto"/>
        <w:ind w:firstLine="708"/>
        <w:jc w:val="both"/>
        <w:rPr>
          <w:rFonts w:ascii="Century Gothic" w:hAnsi="Century Gothic" w:cs="Helvetica"/>
          <w:kern w:val="0"/>
          <w:sz w:val="20"/>
          <w:szCs w:val="20"/>
        </w:rPr>
      </w:pPr>
      <w:r>
        <w:rPr>
          <w:rFonts w:ascii="Century Gothic" w:hAnsi="Century Gothic"/>
          <w:sz w:val="20"/>
          <w:szCs w:val="20"/>
        </w:rPr>
        <w:t xml:space="preserve">W ramach przedmiotowej inwestycji nie przewiduje się wycinki drzew. Usunięte zostanie jedynie 400 m² krzewów, które rosną w niewielkim zagłębieniu terenu. </w:t>
      </w:r>
    </w:p>
    <w:p w14:paraId="50B80CB8" w14:textId="3C55310F" w:rsidR="00EE1F09" w:rsidRPr="00701496" w:rsidRDefault="00EE1F09" w:rsidP="00701496">
      <w:pPr>
        <w:shd w:val="clear" w:color="auto" w:fill="FFFFFF"/>
        <w:spacing w:line="278" w:lineRule="exact"/>
        <w:rPr>
          <w:rFonts w:ascii="Century Gothic" w:hAnsi="Century Gothic"/>
          <w:sz w:val="20"/>
          <w:szCs w:val="20"/>
        </w:rPr>
      </w:pPr>
    </w:p>
    <w:sectPr w:rsidR="00EE1F09" w:rsidRPr="00701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8648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E9960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FA66679"/>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FEB033A"/>
    <w:multiLevelType w:val="hybridMultilevel"/>
    <w:tmpl w:val="CF2C4F04"/>
    <w:lvl w:ilvl="0" w:tplc="FFFFFFFF">
      <w:start w:val="1"/>
      <w:numFmt w:val="bullet"/>
      <w:lvlText w:val="•"/>
      <w:lvlJc w:val="left"/>
      <w:pPr>
        <w:ind w:left="0" w:firstLine="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19008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7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0579713">
    <w:abstractNumId w:val="3"/>
    <w:lvlOverride w:ilvl="0"/>
    <w:lvlOverride w:ilvl="1"/>
    <w:lvlOverride w:ilvl="2"/>
    <w:lvlOverride w:ilvl="3"/>
    <w:lvlOverride w:ilvl="4"/>
    <w:lvlOverride w:ilvl="5"/>
    <w:lvlOverride w:ilvl="6"/>
    <w:lvlOverride w:ilvl="7"/>
    <w:lvlOverride w:ilvl="8"/>
  </w:num>
  <w:num w:numId="4" w16cid:durableId="8184953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289149">
    <w:abstractNumId w:val="0"/>
    <w:lvlOverride w:ilvl="0"/>
    <w:lvlOverride w:ilvl="1"/>
    <w:lvlOverride w:ilvl="2"/>
    <w:lvlOverride w:ilvl="3"/>
    <w:lvlOverride w:ilvl="4"/>
    <w:lvlOverride w:ilvl="5"/>
    <w:lvlOverride w:ilvl="6"/>
    <w:lvlOverride w:ilvl="7"/>
    <w:lvlOverride w:ilvl="8"/>
  </w:num>
  <w:num w:numId="6" w16cid:durableId="139854545">
    <w:abstractNumId w:val="8"/>
    <w:lvlOverride w:ilvl="0"/>
    <w:lvlOverride w:ilvl="1"/>
    <w:lvlOverride w:ilvl="2"/>
    <w:lvlOverride w:ilvl="3"/>
    <w:lvlOverride w:ilvl="4"/>
    <w:lvlOverride w:ilvl="5"/>
    <w:lvlOverride w:ilvl="6"/>
    <w:lvlOverride w:ilvl="7"/>
    <w:lvlOverride w:ilvl="8"/>
  </w:num>
  <w:num w:numId="7" w16cid:durableId="1650204778">
    <w:abstractNumId w:val="1"/>
    <w:lvlOverride w:ilvl="0"/>
    <w:lvlOverride w:ilvl="1"/>
    <w:lvlOverride w:ilvl="2"/>
    <w:lvlOverride w:ilvl="3"/>
    <w:lvlOverride w:ilvl="4"/>
    <w:lvlOverride w:ilvl="5"/>
    <w:lvlOverride w:ilvl="6"/>
    <w:lvlOverride w:ilvl="7"/>
    <w:lvlOverride w:ilvl="8"/>
  </w:num>
  <w:num w:numId="8" w16cid:durableId="520634100">
    <w:abstractNumId w:val="2"/>
    <w:lvlOverride w:ilvl="0"/>
    <w:lvlOverride w:ilvl="1"/>
    <w:lvlOverride w:ilvl="2"/>
    <w:lvlOverride w:ilvl="3"/>
    <w:lvlOverride w:ilvl="4"/>
    <w:lvlOverride w:ilvl="5"/>
    <w:lvlOverride w:ilvl="6"/>
    <w:lvlOverride w:ilvl="7"/>
    <w:lvlOverride w:ilvl="8"/>
  </w:num>
  <w:num w:numId="9" w16cid:durableId="1790129060">
    <w:abstractNumId w:val="5"/>
    <w:lvlOverride w:ilvl="0"/>
    <w:lvlOverride w:ilvl="1"/>
    <w:lvlOverride w:ilvl="2"/>
    <w:lvlOverride w:ilvl="3"/>
    <w:lvlOverride w:ilvl="4"/>
    <w:lvlOverride w:ilvl="5"/>
    <w:lvlOverride w:ilvl="6"/>
    <w:lvlOverride w:ilvl="7"/>
    <w:lvlOverride w:ilvl="8"/>
  </w:num>
  <w:num w:numId="10" w16cid:durableId="117190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389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3940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6"/>
    <w:rsid w:val="00701496"/>
    <w:rsid w:val="00BA55EE"/>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9A34"/>
  <w15:chartTrackingRefBased/>
  <w15:docId w15:val="{804D9C47-2165-44A7-971F-D84434F6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1496"/>
    <w:pPr>
      <w:spacing w:line="252" w:lineRule="auto"/>
    </w:pPr>
  </w:style>
  <w:style w:type="paragraph" w:styleId="Nagwek1">
    <w:name w:val="heading 1"/>
    <w:basedOn w:val="Normalny"/>
    <w:next w:val="Normalny"/>
    <w:link w:val="Nagwek1Znak"/>
    <w:uiPriority w:val="9"/>
    <w:qFormat/>
    <w:rsid w:val="00701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1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149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149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149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149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149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149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149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149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149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149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149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149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149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149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149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1496"/>
    <w:rPr>
      <w:rFonts w:eastAsiaTheme="majorEastAsia" w:cstheme="majorBidi"/>
      <w:color w:val="272727" w:themeColor="text1" w:themeTint="D8"/>
    </w:rPr>
  </w:style>
  <w:style w:type="paragraph" w:styleId="Tytu">
    <w:name w:val="Title"/>
    <w:basedOn w:val="Normalny"/>
    <w:next w:val="Normalny"/>
    <w:link w:val="TytuZnak"/>
    <w:uiPriority w:val="10"/>
    <w:qFormat/>
    <w:rsid w:val="0070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149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149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149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1496"/>
    <w:pPr>
      <w:spacing w:before="160"/>
      <w:jc w:val="center"/>
    </w:pPr>
    <w:rPr>
      <w:i/>
      <w:iCs/>
      <w:color w:val="404040" w:themeColor="text1" w:themeTint="BF"/>
    </w:rPr>
  </w:style>
  <w:style w:type="character" w:customStyle="1" w:styleId="CytatZnak">
    <w:name w:val="Cytat Znak"/>
    <w:basedOn w:val="Domylnaczcionkaakapitu"/>
    <w:link w:val="Cytat"/>
    <w:uiPriority w:val="29"/>
    <w:rsid w:val="00701496"/>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701496"/>
    <w:pPr>
      <w:ind w:left="720"/>
      <w:contextualSpacing/>
    </w:pPr>
  </w:style>
  <w:style w:type="character" w:styleId="Wyrnienieintensywne">
    <w:name w:val="Intense Emphasis"/>
    <w:basedOn w:val="Domylnaczcionkaakapitu"/>
    <w:uiPriority w:val="21"/>
    <w:qFormat/>
    <w:rsid w:val="00701496"/>
    <w:rPr>
      <w:i/>
      <w:iCs/>
      <w:color w:val="2F5496" w:themeColor="accent1" w:themeShade="BF"/>
    </w:rPr>
  </w:style>
  <w:style w:type="paragraph" w:styleId="Cytatintensywny">
    <w:name w:val="Intense Quote"/>
    <w:basedOn w:val="Normalny"/>
    <w:next w:val="Normalny"/>
    <w:link w:val="CytatintensywnyZnak"/>
    <w:uiPriority w:val="30"/>
    <w:qFormat/>
    <w:rsid w:val="00701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1496"/>
    <w:rPr>
      <w:i/>
      <w:iCs/>
      <w:color w:val="2F5496" w:themeColor="accent1" w:themeShade="BF"/>
    </w:rPr>
  </w:style>
  <w:style w:type="character" w:styleId="Odwoanieintensywne">
    <w:name w:val="Intense Reference"/>
    <w:basedOn w:val="Domylnaczcionkaakapitu"/>
    <w:uiPriority w:val="32"/>
    <w:qFormat/>
    <w:rsid w:val="00701496"/>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701496"/>
  </w:style>
  <w:style w:type="paragraph" w:customStyle="1" w:styleId="Default">
    <w:name w:val="Default"/>
    <w:rsid w:val="00701496"/>
    <w:pPr>
      <w:autoSpaceDE w:val="0"/>
      <w:autoSpaceDN w:val="0"/>
      <w:adjustRightInd w:val="0"/>
      <w:spacing w:after="0" w:line="240" w:lineRule="auto"/>
    </w:pPr>
    <w:rPr>
      <w:rFonts w:ascii="Arial" w:hAnsi="Arial" w:cs="Arial"/>
      <w:color w:val="000000"/>
      <w:kern w:val="0"/>
      <w:sz w:val="24"/>
      <w:szCs w:val="24"/>
    </w:rPr>
  </w:style>
  <w:style w:type="table" w:customStyle="1" w:styleId="TableGrid">
    <w:name w:val="TableGrid"/>
    <w:rsid w:val="00701496"/>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6052</Words>
  <Characters>36313</Characters>
  <Application>Microsoft Office Word</Application>
  <DocSecurity>0</DocSecurity>
  <Lines>302</Lines>
  <Paragraphs>84</Paragraphs>
  <ScaleCrop>false</ScaleCrop>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2025-12-30T06:00:00Z</dcterms:created>
  <dcterms:modified xsi:type="dcterms:W3CDTF">2025-12-30T06:00:00Z</dcterms:modified>
</cp:coreProperties>
</file>