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104A" w14:textId="77777777" w:rsidR="007519C2" w:rsidRDefault="007519C2" w:rsidP="007519C2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6C62AFA3" w14:textId="77777777" w:rsidR="007519C2" w:rsidRDefault="007519C2" w:rsidP="007519C2">
      <w:pPr>
        <w:spacing w:after="0" w:line="240" w:lineRule="auto"/>
        <w:jc w:val="right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            Gniezno, dnia 14 października 2025 r.</w:t>
      </w:r>
    </w:p>
    <w:p w14:paraId="20F8E85E" w14:textId="77777777" w:rsidR="007519C2" w:rsidRDefault="007519C2" w:rsidP="007519C2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OŚR.6220.12.2025</w:t>
      </w:r>
    </w:p>
    <w:p w14:paraId="07F72436" w14:textId="77777777" w:rsidR="007519C2" w:rsidRDefault="007519C2" w:rsidP="007519C2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sz w:val="21"/>
          <w:szCs w:val="21"/>
          <w:u w:val="single"/>
          <w:lang w:eastAsia="pl-PL"/>
        </w:rPr>
      </w:pPr>
    </w:p>
    <w:p w14:paraId="2F34D8BA" w14:textId="77777777" w:rsidR="007519C2" w:rsidRDefault="007519C2" w:rsidP="007519C2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u w:val="single"/>
          <w:lang w:eastAsia="pl-PL"/>
        </w:rPr>
      </w:pPr>
      <w:r>
        <w:rPr>
          <w:rFonts w:ascii="Century Gothic" w:hAnsi="Century Gothic"/>
          <w:b/>
          <w:u w:val="single"/>
          <w:lang w:eastAsia="pl-PL"/>
        </w:rPr>
        <w:t>OBWIESZCZENIE</w:t>
      </w:r>
    </w:p>
    <w:p w14:paraId="196B1863" w14:textId="77777777" w:rsidR="007519C2" w:rsidRDefault="007519C2" w:rsidP="007519C2">
      <w:pPr>
        <w:spacing w:after="0" w:line="22" w:lineRule="atLeast"/>
        <w:rPr>
          <w:rFonts w:ascii="Century Gothic" w:hAnsi="Century Gothic"/>
          <w:sz w:val="21"/>
          <w:szCs w:val="21"/>
          <w:lang w:eastAsia="pl-PL"/>
        </w:rPr>
      </w:pPr>
    </w:p>
    <w:p w14:paraId="3C934603" w14:textId="77777777" w:rsidR="007519C2" w:rsidRDefault="007519C2" w:rsidP="007519C2">
      <w:pPr>
        <w:spacing w:after="0" w:line="276" w:lineRule="auto"/>
        <w:ind w:firstLine="709"/>
        <w:jc w:val="both"/>
        <w:rPr>
          <w:rFonts w:ascii="Century Gothic" w:hAnsi="Century Gothic"/>
          <w:b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Na podstawie art. 49 ustawy z dnia 14 czerwca 1960 r. </w:t>
      </w:r>
      <w:r>
        <w:rPr>
          <w:rFonts w:ascii="Century Gothic" w:hAnsi="Century Gothic"/>
          <w:i/>
          <w:sz w:val="21"/>
          <w:szCs w:val="21"/>
          <w:lang w:eastAsia="pl-PL"/>
        </w:rPr>
        <w:t xml:space="preserve">kodeks postępowania administracyjnego </w:t>
      </w:r>
      <w:r>
        <w:rPr>
          <w:rFonts w:ascii="Century Gothic" w:hAnsi="Century Gothic"/>
          <w:sz w:val="21"/>
          <w:szCs w:val="21"/>
          <w:lang w:eastAsia="pl-PL"/>
        </w:rPr>
        <w:t xml:space="preserve">/Dz. U. 2024 r., poz. 572 ze zm./, w związku z art. 74 ust. 3 ustawy z dnia 3 października </w:t>
      </w:r>
      <w:r>
        <w:rPr>
          <w:rFonts w:ascii="Century Gothic" w:hAnsi="Century Gothic"/>
          <w:bCs/>
          <w:sz w:val="21"/>
          <w:szCs w:val="21"/>
          <w:lang w:eastAsia="pl-PL"/>
        </w:rPr>
        <w:t xml:space="preserve">2008 r. </w:t>
      </w:r>
      <w:r>
        <w:rPr>
          <w:rFonts w:ascii="Century Gothic" w:hAnsi="Century Gothic"/>
          <w:bCs/>
          <w:i/>
          <w:sz w:val="21"/>
          <w:szCs w:val="21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/Dz. U. z 2024 r., poz. 1112 ze zm./ </w:t>
      </w:r>
      <w:r>
        <w:rPr>
          <w:rFonts w:ascii="Century Gothic" w:hAnsi="Century Gothic"/>
          <w:b/>
          <w:sz w:val="21"/>
          <w:szCs w:val="21"/>
          <w:lang w:eastAsia="pl-PL"/>
        </w:rPr>
        <w:t xml:space="preserve">Wójt Gminy Gniezno </w:t>
      </w:r>
      <w:r>
        <w:rPr>
          <w:rFonts w:ascii="Century Gothic" w:hAnsi="Century Gothic"/>
          <w:b/>
          <w:bCs/>
          <w:sz w:val="21"/>
          <w:szCs w:val="21"/>
          <w:lang w:eastAsia="pl-PL"/>
        </w:rPr>
        <w:t xml:space="preserve">zawiadamia </w:t>
      </w:r>
      <w:r>
        <w:rPr>
          <w:rFonts w:ascii="Century Gothic" w:hAnsi="Century Gothic"/>
          <w:bCs/>
          <w:sz w:val="21"/>
          <w:szCs w:val="21"/>
          <w:lang w:eastAsia="pl-PL"/>
        </w:rPr>
        <w:t>strony postępowania administracyjnego o wydanym</w:t>
      </w:r>
      <w:r>
        <w:rPr>
          <w:rFonts w:ascii="Century Gothic" w:hAnsi="Century Gothic"/>
          <w:sz w:val="21"/>
          <w:szCs w:val="21"/>
          <w:lang w:eastAsia="pl-PL"/>
        </w:rPr>
        <w:t xml:space="preserve"> dnia 14 października 2025 r. </w:t>
      </w:r>
      <w:r>
        <w:rPr>
          <w:rFonts w:ascii="Century Gothic" w:hAnsi="Century Gothic"/>
          <w:b/>
          <w:bCs/>
          <w:sz w:val="21"/>
          <w:szCs w:val="21"/>
          <w:lang w:eastAsia="pl-PL"/>
        </w:rPr>
        <w:t xml:space="preserve">Postanowieniu o zawieszeniu postępowania </w:t>
      </w:r>
      <w:r>
        <w:rPr>
          <w:rFonts w:ascii="Century Gothic" w:hAnsi="Century Gothic"/>
          <w:sz w:val="21"/>
          <w:szCs w:val="21"/>
          <w:lang w:eastAsia="pl-PL"/>
        </w:rPr>
        <w:t xml:space="preserve">w sprawie wydanie decyzji o środowiskowych uwarunkowaniach </w:t>
      </w:r>
      <w:r>
        <w:rPr>
          <w:rFonts w:ascii="Century Gothic" w:hAnsi="Century Gothic" w:cs="Arial"/>
          <w:sz w:val="21"/>
          <w:szCs w:val="21"/>
          <w:lang w:eastAsia="pl-PL"/>
        </w:rPr>
        <w:t>dla planowanego przedsięwzięcia polegającego na</w:t>
      </w:r>
      <w:r>
        <w:rPr>
          <w:rFonts w:ascii="Century Gothic" w:hAnsi="Century Gothic"/>
          <w:b/>
          <w:bCs/>
          <w:sz w:val="21"/>
          <w:szCs w:val="21"/>
          <w:lang w:eastAsia="pl-PL"/>
        </w:rPr>
        <w:t xml:space="preserve"> </w:t>
      </w:r>
      <w:bookmarkStart w:id="0" w:name="_Hlk186458591"/>
      <w:r>
        <w:rPr>
          <w:rFonts w:ascii="Century Gothic" w:hAnsi="Century Gothic"/>
          <w:b/>
          <w:bCs/>
          <w:sz w:val="21"/>
          <w:szCs w:val="21"/>
        </w:rPr>
        <w:t xml:space="preserve">budowie </w:t>
      </w:r>
      <w:bookmarkEnd w:id="0"/>
      <w:r>
        <w:rPr>
          <w:rFonts w:ascii="Century Gothic" w:hAnsi="Century Gothic"/>
          <w:b/>
          <w:bCs/>
          <w:sz w:val="21"/>
          <w:szCs w:val="21"/>
        </w:rPr>
        <w:t>stacji paliw w miejscowości Piekary, Gmina Gniezno, działki nr 18/5 i 18/6</w:t>
      </w:r>
      <w:r>
        <w:rPr>
          <w:rFonts w:ascii="Century Gothic" w:hAnsi="Century Gothic"/>
          <w:b/>
          <w:sz w:val="21"/>
          <w:szCs w:val="21"/>
          <w:lang w:eastAsia="pl-PL"/>
        </w:rPr>
        <w:t xml:space="preserve">, </w:t>
      </w:r>
      <w:r>
        <w:rPr>
          <w:rFonts w:ascii="Century Gothic" w:hAnsi="Century Gothic"/>
          <w:bCs/>
          <w:sz w:val="21"/>
          <w:szCs w:val="21"/>
          <w:lang w:eastAsia="pl-PL"/>
        </w:rPr>
        <w:t>którego treść podaje poniżej.</w:t>
      </w:r>
      <w:r>
        <w:rPr>
          <w:rFonts w:ascii="Century Gothic" w:hAnsi="Century Gothic"/>
          <w:b/>
          <w:bCs/>
          <w:sz w:val="21"/>
          <w:szCs w:val="21"/>
          <w:lang w:eastAsia="pl-PL"/>
        </w:rPr>
        <w:t xml:space="preserve"> </w:t>
      </w:r>
    </w:p>
    <w:p w14:paraId="78F1B5D5" w14:textId="77777777" w:rsidR="007519C2" w:rsidRDefault="007519C2" w:rsidP="007519C2">
      <w:pPr>
        <w:spacing w:after="120" w:line="240" w:lineRule="auto"/>
        <w:ind w:left="283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pl-PL"/>
        </w:rPr>
        <w:t>Uwaga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:</w:t>
      </w:r>
    </w:p>
    <w:p w14:paraId="6BD996ED" w14:textId="77777777" w:rsidR="007519C2" w:rsidRDefault="007519C2" w:rsidP="007519C2">
      <w:pPr>
        <w:spacing w:after="120" w:line="240" w:lineRule="auto"/>
        <w:ind w:hanging="284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ab/>
      </w:r>
      <w:r>
        <w:rPr>
          <w:rFonts w:ascii="Century Gothic" w:hAnsi="Century Gothic"/>
          <w:sz w:val="16"/>
          <w:szCs w:val="16"/>
          <w:lang w:eastAsia="pl-PL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o wydanym Postanowieniu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15 października 2025 roku.</w:t>
      </w:r>
    </w:p>
    <w:p w14:paraId="157FE754" w14:textId="77777777" w:rsidR="007519C2" w:rsidRDefault="007519C2" w:rsidP="007519C2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66DA4446" w14:textId="77777777" w:rsidR="007519C2" w:rsidRDefault="007519C2" w:rsidP="007519C2">
      <w:pPr>
        <w:spacing w:after="0" w:line="240" w:lineRule="auto"/>
        <w:jc w:val="right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            Gniezno, dnia 14 października 2025 r.</w:t>
      </w:r>
    </w:p>
    <w:p w14:paraId="5E7A2B90" w14:textId="77777777" w:rsidR="007519C2" w:rsidRDefault="007519C2" w:rsidP="007519C2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OŚR.6220.12.2025</w:t>
      </w:r>
    </w:p>
    <w:p w14:paraId="0FE61001" w14:textId="77777777" w:rsidR="007519C2" w:rsidRDefault="007519C2" w:rsidP="007519C2">
      <w:pPr>
        <w:pStyle w:val="Tekstpodstawowy"/>
        <w:spacing w:after="0" w:line="276" w:lineRule="auto"/>
        <w:jc w:val="both"/>
        <w:rPr>
          <w:rFonts w:ascii="Century Gothic" w:hAnsi="Century Gothic"/>
          <w:b/>
          <w:i/>
          <w:iCs/>
          <w:sz w:val="21"/>
          <w:szCs w:val="21"/>
        </w:rPr>
      </w:pPr>
    </w:p>
    <w:p w14:paraId="08009DEE" w14:textId="77777777" w:rsidR="007519C2" w:rsidRDefault="007519C2" w:rsidP="007519C2">
      <w:pPr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</w:rPr>
        <w:t>POSTANOWIENIE</w:t>
      </w:r>
      <w:r>
        <w:rPr>
          <w:rFonts w:ascii="Century Gothic" w:hAnsi="Century Gothic"/>
          <w:b/>
          <w:sz w:val="21"/>
          <w:szCs w:val="21"/>
        </w:rPr>
        <w:br/>
      </w:r>
      <w:r>
        <w:rPr>
          <w:rFonts w:ascii="Century Gothic" w:hAnsi="Century Gothic"/>
          <w:sz w:val="21"/>
          <w:szCs w:val="21"/>
          <w:u w:val="single"/>
        </w:rPr>
        <w:t>o zawieszeniu  postępowania  w sprawie    wydania    decyzji    o środowiskowych uwarunkowaniach</w:t>
      </w:r>
    </w:p>
    <w:p w14:paraId="1AB76358" w14:textId="77777777" w:rsidR="007519C2" w:rsidRDefault="007519C2" w:rsidP="007519C2">
      <w:pPr>
        <w:shd w:val="clear" w:color="auto" w:fill="FFFFFF"/>
        <w:spacing w:after="0" w:line="276" w:lineRule="auto"/>
        <w:ind w:left="14" w:firstLine="691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pacing w:val="-1"/>
          <w:sz w:val="21"/>
          <w:szCs w:val="21"/>
          <w:lang w:eastAsia="pl-PL"/>
        </w:rPr>
        <w:t xml:space="preserve">Na podstawie art. 63 ust. 5 </w:t>
      </w:r>
      <w:r>
        <w:rPr>
          <w:rFonts w:ascii="Century Gothic" w:hAnsi="Century Gothic"/>
          <w:sz w:val="21"/>
          <w:szCs w:val="21"/>
          <w:lang w:eastAsia="pl-PL"/>
        </w:rPr>
        <w:t xml:space="preserve">ustawy z dnia 3 października </w:t>
      </w:r>
      <w:r>
        <w:rPr>
          <w:rFonts w:ascii="Century Gothic" w:hAnsi="Century Gothic"/>
          <w:bCs/>
          <w:sz w:val="21"/>
          <w:szCs w:val="21"/>
          <w:lang w:eastAsia="pl-PL"/>
        </w:rPr>
        <w:t xml:space="preserve">2008 roku </w:t>
      </w:r>
      <w:r>
        <w:rPr>
          <w:rFonts w:ascii="Century Gothic" w:hAnsi="Century Gothic"/>
          <w:bCs/>
          <w:i/>
          <w:sz w:val="21"/>
          <w:szCs w:val="21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</w:rPr>
        <w:t>/Dz. U. z 2024 r., poz. 1112 ze zm./</w:t>
      </w:r>
      <w:r>
        <w:rPr>
          <w:rFonts w:ascii="Century Gothic" w:hAnsi="Century Gothic"/>
          <w:sz w:val="21"/>
          <w:szCs w:val="21"/>
          <w:lang w:eastAsia="pl-PL"/>
        </w:rPr>
        <w:t xml:space="preserve">, a także art. 123 ustawy z dnia 14 czerwca 1960 r. </w:t>
      </w:r>
      <w:r>
        <w:rPr>
          <w:rFonts w:ascii="Century Gothic" w:hAnsi="Century Gothic"/>
          <w:i/>
          <w:sz w:val="21"/>
          <w:szCs w:val="21"/>
          <w:lang w:eastAsia="pl-PL"/>
        </w:rPr>
        <w:t xml:space="preserve">kodeks postępowania administracyjnego </w:t>
      </w:r>
      <w:r>
        <w:rPr>
          <w:rFonts w:ascii="Century Gothic" w:hAnsi="Century Gothic"/>
          <w:sz w:val="21"/>
          <w:szCs w:val="21"/>
        </w:rPr>
        <w:t>/ Dz. U. 2024 r., poz. 572 ze zm./</w:t>
      </w:r>
      <w:r>
        <w:rPr>
          <w:rFonts w:ascii="Century Gothic" w:hAnsi="Century Gothic"/>
          <w:sz w:val="21"/>
          <w:szCs w:val="21"/>
          <w:lang w:eastAsia="pl-PL"/>
        </w:rPr>
        <w:t>,</w:t>
      </w:r>
    </w:p>
    <w:p w14:paraId="086ADD12" w14:textId="77777777" w:rsidR="007519C2" w:rsidRDefault="007519C2" w:rsidP="007519C2">
      <w:pPr>
        <w:shd w:val="clear" w:color="auto" w:fill="FFFFFF"/>
        <w:spacing w:before="120" w:after="120" w:line="276" w:lineRule="auto"/>
        <w:ind w:left="19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sz w:val="21"/>
          <w:szCs w:val="21"/>
          <w:lang w:eastAsia="pl-PL"/>
        </w:rPr>
        <w:t>postanawiam</w:t>
      </w:r>
    </w:p>
    <w:p w14:paraId="06AFB490" w14:textId="77777777" w:rsidR="007519C2" w:rsidRDefault="007519C2" w:rsidP="007519C2">
      <w:pPr>
        <w:ind w:firstLine="567"/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zawiesić postępowanie administracyjne z wniosku </w:t>
      </w:r>
      <w:r>
        <w:rPr>
          <w:rFonts w:ascii="Century Gothic" w:hAnsi="Century Gothic"/>
          <w:b/>
          <w:bCs/>
          <w:sz w:val="21"/>
          <w:szCs w:val="21"/>
        </w:rPr>
        <w:t>Inwestora</w:t>
      </w:r>
      <w:r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b/>
          <w:bCs/>
          <w:sz w:val="21"/>
          <w:szCs w:val="21"/>
        </w:rPr>
        <w:t>firmy</w:t>
      </w:r>
      <w:r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 xml:space="preserve">HIL-GAZ Paweł </w:t>
      </w:r>
      <w:proofErr w:type="spellStart"/>
      <w:r>
        <w:rPr>
          <w:rFonts w:ascii="Century Gothic" w:hAnsi="Century Gothic"/>
          <w:b/>
          <w:sz w:val="21"/>
          <w:szCs w:val="21"/>
        </w:rPr>
        <w:t>Hildebrański</w:t>
      </w:r>
      <w:proofErr w:type="spellEnd"/>
      <w:r>
        <w:rPr>
          <w:rFonts w:ascii="Century Gothic" w:hAnsi="Century Gothic"/>
          <w:b/>
          <w:sz w:val="21"/>
          <w:szCs w:val="21"/>
        </w:rPr>
        <w:t xml:space="preserve"> Sp. z o.o. , ul. Konikowo 10, 62-200 Gniezno reprezentowanej przez Pełnomocnika Panią Annę Tritt Doradztwo Ekologiczne LADYBIRD, ul. Ogrodowa 1a, 62-241 Żydowo </w:t>
      </w:r>
      <w:r>
        <w:rPr>
          <w:rFonts w:ascii="Century Gothic" w:hAnsi="Century Gothic"/>
          <w:sz w:val="21"/>
          <w:szCs w:val="21"/>
          <w:lang w:eastAsia="pl-PL"/>
        </w:rPr>
        <w:t>w sprawie wydania decyzji o środowiskowych uwarunkowaniach dla przedsięwzięcia polegającego</w:t>
      </w:r>
      <w:r>
        <w:rPr>
          <w:rFonts w:ascii="Century Gothic" w:hAnsi="Century Gothic"/>
          <w:b/>
          <w:bCs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bCs/>
          <w:sz w:val="21"/>
          <w:szCs w:val="21"/>
          <w:lang w:eastAsia="pl-PL"/>
        </w:rPr>
        <w:t xml:space="preserve">na </w:t>
      </w:r>
      <w:r>
        <w:rPr>
          <w:rFonts w:ascii="Century Gothic" w:hAnsi="Century Gothic"/>
          <w:b/>
          <w:bCs/>
          <w:sz w:val="21"/>
          <w:szCs w:val="21"/>
        </w:rPr>
        <w:t>budowie stacji paliw w miejscowości Piekary, Gmina Gniezno, działki nr 18/5 i 18/6</w:t>
      </w:r>
      <w:r>
        <w:rPr>
          <w:rFonts w:ascii="Century Gothic" w:hAnsi="Century Gothic"/>
          <w:b/>
          <w:sz w:val="21"/>
          <w:szCs w:val="21"/>
        </w:rPr>
        <w:t xml:space="preserve">, </w:t>
      </w:r>
      <w:r>
        <w:rPr>
          <w:rFonts w:ascii="Century Gothic" w:hAnsi="Century Gothic"/>
          <w:bCs/>
          <w:sz w:val="21"/>
          <w:szCs w:val="21"/>
        </w:rPr>
        <w:t xml:space="preserve">do czasu przedłożenia raportu </w:t>
      </w:r>
      <w:r>
        <w:rPr>
          <w:rFonts w:ascii="Century Gothic" w:hAnsi="Century Gothic"/>
          <w:sz w:val="21"/>
          <w:szCs w:val="21"/>
          <w:lang w:eastAsia="pl-PL"/>
        </w:rPr>
        <w:t>o oddziaływaniu przedsięwzięcia na środowisko.</w:t>
      </w:r>
    </w:p>
    <w:p w14:paraId="1DAEB48F" w14:textId="77777777" w:rsidR="007519C2" w:rsidRDefault="007519C2" w:rsidP="007519C2">
      <w:pPr>
        <w:spacing w:line="276" w:lineRule="auto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bCs/>
          <w:spacing w:val="-1"/>
          <w:sz w:val="21"/>
          <w:szCs w:val="21"/>
          <w:lang w:eastAsia="pl-PL"/>
        </w:rPr>
        <w:t>Uzasadnienie</w:t>
      </w:r>
    </w:p>
    <w:p w14:paraId="525186EC" w14:textId="77777777" w:rsidR="007519C2" w:rsidRDefault="007519C2" w:rsidP="007519C2">
      <w:pPr>
        <w:shd w:val="clear" w:color="auto" w:fill="FFFFFF"/>
        <w:spacing w:after="0" w:line="276" w:lineRule="auto"/>
        <w:ind w:right="11" w:firstLine="708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pacing w:val="-1"/>
          <w:sz w:val="21"/>
          <w:szCs w:val="21"/>
          <w:lang w:eastAsia="pl-PL"/>
        </w:rPr>
        <w:t xml:space="preserve">Zgodnie z art. 63 ust. 5 ustawy z dnia 3 października 2008 r. o udostępnianiu informacji o </w:t>
      </w:r>
      <w:r>
        <w:rPr>
          <w:rFonts w:ascii="Century Gothic" w:hAnsi="Century Gothic"/>
          <w:sz w:val="21"/>
          <w:szCs w:val="21"/>
          <w:lang w:eastAsia="pl-PL"/>
        </w:rPr>
        <w:t xml:space="preserve">środowisku i jego ochronie, udziale społeczeństwa w ochronie środowiska oraz </w:t>
      </w:r>
      <w:r>
        <w:rPr>
          <w:rFonts w:ascii="Century Gothic" w:hAnsi="Century Gothic"/>
          <w:sz w:val="21"/>
          <w:szCs w:val="21"/>
          <w:lang w:eastAsia="pl-PL"/>
        </w:rPr>
        <w:br/>
        <w:t xml:space="preserve">o ocenach oddziaływania na środowisko, w przypadku stwierdzenia obowiązku przeprowadzenia oceny oddziaływania przedsięwzięcia na środowisko, organ właściwy </w:t>
      </w:r>
      <w:r>
        <w:rPr>
          <w:rFonts w:ascii="Century Gothic" w:hAnsi="Century Gothic"/>
          <w:sz w:val="21"/>
          <w:szCs w:val="21"/>
          <w:lang w:eastAsia="pl-PL"/>
        </w:rPr>
        <w:lastRenderedPageBreak/>
        <w:t xml:space="preserve">do wydania decyzji o środowiskowych uwarunkowaniach wydaje postanowienie </w:t>
      </w:r>
      <w:r>
        <w:rPr>
          <w:rFonts w:ascii="Century Gothic" w:hAnsi="Century Gothic"/>
          <w:sz w:val="21"/>
          <w:szCs w:val="21"/>
          <w:lang w:eastAsia="pl-PL"/>
        </w:rPr>
        <w:br/>
        <w:t xml:space="preserve">o zawieszeniu postępowania, do czasu przedłożenia przez wnioskodawcę raportu </w:t>
      </w:r>
      <w:r>
        <w:rPr>
          <w:rFonts w:ascii="Century Gothic" w:hAnsi="Century Gothic"/>
          <w:sz w:val="21"/>
          <w:szCs w:val="21"/>
          <w:lang w:eastAsia="pl-PL"/>
        </w:rPr>
        <w:br/>
        <w:t>o oddziaływaniu przedsięwzięcia na środowisko.</w:t>
      </w:r>
    </w:p>
    <w:p w14:paraId="1CB1F5AF" w14:textId="77777777" w:rsidR="007519C2" w:rsidRDefault="007519C2" w:rsidP="007519C2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Wnioskiem z</w:t>
      </w:r>
      <w:r>
        <w:rPr>
          <w:rFonts w:ascii="Century Gothic" w:hAnsi="Century Gothic"/>
          <w:spacing w:val="14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dnia</w:t>
      </w:r>
      <w:r>
        <w:rPr>
          <w:rFonts w:ascii="Century Gothic" w:hAnsi="Century Gothic"/>
          <w:spacing w:val="41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1 sierpnia 2025</w:t>
      </w:r>
      <w:r>
        <w:rPr>
          <w:rFonts w:ascii="Century Gothic" w:hAnsi="Century Gothic"/>
          <w:spacing w:val="40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r. (data wpływu 5.08.2025 r.) firma HIL-GAZ Paweł </w:t>
      </w:r>
      <w:proofErr w:type="spellStart"/>
      <w:r>
        <w:rPr>
          <w:rFonts w:ascii="Century Gothic" w:hAnsi="Century Gothic"/>
          <w:sz w:val="21"/>
          <w:szCs w:val="21"/>
          <w:lang w:eastAsia="pl-PL"/>
        </w:rPr>
        <w:t>Hildebrański</w:t>
      </w:r>
      <w:proofErr w:type="spellEnd"/>
      <w:r>
        <w:rPr>
          <w:rFonts w:ascii="Century Gothic" w:hAnsi="Century Gothic"/>
          <w:sz w:val="21"/>
          <w:szCs w:val="21"/>
          <w:lang w:eastAsia="pl-PL"/>
        </w:rPr>
        <w:t xml:space="preserve"> Sp. z o.o. , ul. Konikowo 10, 62-200 Gniezno reprezentowana przez Pełnomocnika Panią Annę Tritt Doradztwo Ekologiczne LADYBIRD, ul. Ogrodowa 1a, 62-241 Żydowo zwróciła</w:t>
      </w:r>
      <w:r>
        <w:rPr>
          <w:rFonts w:ascii="Century Gothic" w:hAnsi="Century Gothic"/>
          <w:spacing w:val="48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się</w:t>
      </w:r>
      <w:r>
        <w:rPr>
          <w:rFonts w:ascii="Century Gothic" w:hAnsi="Century Gothic"/>
          <w:spacing w:val="24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do</w:t>
      </w:r>
      <w:r>
        <w:rPr>
          <w:rFonts w:ascii="Century Gothic" w:hAnsi="Century Gothic"/>
          <w:spacing w:val="38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Wójta</w:t>
      </w:r>
      <w:r>
        <w:rPr>
          <w:rFonts w:ascii="Century Gothic" w:hAnsi="Century Gothic"/>
          <w:spacing w:val="43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Gminy</w:t>
      </w:r>
      <w:r>
        <w:rPr>
          <w:rFonts w:ascii="Century Gothic" w:hAnsi="Century Gothic"/>
          <w:spacing w:val="51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Gniezno</w:t>
      </w:r>
      <w:r>
        <w:rPr>
          <w:rFonts w:ascii="Century Gothic" w:hAnsi="Century Gothic"/>
          <w:spacing w:val="57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o</w:t>
      </w:r>
      <w:r>
        <w:rPr>
          <w:rFonts w:ascii="Century Gothic" w:hAnsi="Century Gothic"/>
          <w:spacing w:val="3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wydanie</w:t>
      </w:r>
      <w:r>
        <w:rPr>
          <w:rFonts w:ascii="Century Gothic" w:hAnsi="Century Gothic"/>
          <w:spacing w:val="4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3"/>
          <w:sz w:val="21"/>
          <w:szCs w:val="21"/>
          <w:lang w:eastAsia="pl-PL"/>
        </w:rPr>
        <w:t xml:space="preserve">decyzji </w:t>
      </w:r>
      <w:r>
        <w:rPr>
          <w:rFonts w:ascii="Century Gothic" w:hAnsi="Century Gothic"/>
          <w:sz w:val="21"/>
          <w:szCs w:val="21"/>
          <w:lang w:eastAsia="pl-PL"/>
        </w:rPr>
        <w:t>o</w:t>
      </w:r>
      <w:r>
        <w:rPr>
          <w:rFonts w:ascii="Century Gothic" w:hAnsi="Century Gothic"/>
          <w:spacing w:val="10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5"/>
          <w:sz w:val="21"/>
          <w:szCs w:val="21"/>
          <w:lang w:eastAsia="pl-PL"/>
        </w:rPr>
        <w:t>środowiskowych</w:t>
      </w:r>
      <w:r>
        <w:rPr>
          <w:rFonts w:ascii="Century Gothic" w:hAnsi="Century Gothic"/>
          <w:spacing w:val="9"/>
          <w:w w:val="10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5"/>
          <w:sz w:val="21"/>
          <w:szCs w:val="21"/>
          <w:lang w:eastAsia="pl-PL"/>
        </w:rPr>
        <w:t>uwarunkowaniach</w:t>
      </w:r>
      <w:r>
        <w:rPr>
          <w:rFonts w:ascii="Century Gothic" w:hAnsi="Century Gothic"/>
          <w:spacing w:val="2"/>
          <w:w w:val="10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dla</w:t>
      </w:r>
      <w:r>
        <w:rPr>
          <w:rFonts w:ascii="Century Gothic" w:hAnsi="Century Gothic"/>
          <w:spacing w:val="20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5"/>
          <w:sz w:val="21"/>
          <w:szCs w:val="21"/>
          <w:lang w:eastAsia="pl-PL"/>
        </w:rPr>
        <w:t>przedsięwzięcia polegającego</w:t>
      </w:r>
      <w:r>
        <w:rPr>
          <w:rFonts w:ascii="Century Gothic" w:hAnsi="Century Gothic"/>
          <w:spacing w:val="22"/>
          <w:w w:val="10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na</w:t>
      </w:r>
      <w:r>
        <w:rPr>
          <w:rFonts w:ascii="Century Gothic" w:hAnsi="Century Gothic"/>
          <w:spacing w:val="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budowie stacji paliw w miejscowości Piekary, Gmina Gniezno, działki nr 18/5 i 18/6.</w:t>
      </w:r>
    </w:p>
    <w:p w14:paraId="722B0E44" w14:textId="77777777" w:rsidR="007519C2" w:rsidRDefault="007519C2" w:rsidP="007519C2">
      <w:pPr>
        <w:widowControl w:val="0"/>
        <w:spacing w:after="0" w:line="276" w:lineRule="auto"/>
        <w:ind w:right="74" w:firstLine="708"/>
        <w:contextualSpacing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Na podstawie art. 75 ust. 1 pkt 4 ustawy o udostępnieniu informacji o środowisku i jego ochronie, udziale społeczeństwa w ochronie środowiska oraz ocenach oddziaływania na środowisko, zwanej dalej ustawą </w:t>
      </w:r>
      <w:proofErr w:type="spellStart"/>
      <w:r>
        <w:rPr>
          <w:rFonts w:ascii="Century Gothic" w:hAnsi="Century Gothic"/>
          <w:sz w:val="21"/>
          <w:szCs w:val="21"/>
          <w:lang w:eastAsia="pl-PL"/>
        </w:rPr>
        <w:t>ooś</w:t>
      </w:r>
      <w:proofErr w:type="spellEnd"/>
      <w:r>
        <w:rPr>
          <w:rFonts w:ascii="Century Gothic" w:hAnsi="Century Gothic"/>
          <w:sz w:val="21"/>
          <w:szCs w:val="21"/>
          <w:lang w:eastAsia="pl-PL"/>
        </w:rPr>
        <w:t xml:space="preserve">, stwierdzono, że organem właściwym do wydania decyzji o środowiskowych uwarunkowaniach jest Wójt Gminy Gniezno. </w:t>
      </w:r>
    </w:p>
    <w:p w14:paraId="78CF42C8" w14:textId="77777777" w:rsidR="007519C2" w:rsidRDefault="007519C2" w:rsidP="007519C2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Na podstawie wniosku, a w szczególności zgodnie z treścią karty informacyjnej przedsięwzięcia wraz z załącznikami stwierdzić należało, że planowane </w:t>
      </w:r>
      <w:r>
        <w:rPr>
          <w:rFonts w:ascii="Century Gothic" w:hAnsi="Century Gothic"/>
          <w:w w:val="106"/>
          <w:sz w:val="21"/>
          <w:szCs w:val="21"/>
          <w:lang w:eastAsia="pl-PL"/>
        </w:rPr>
        <w:t>przedsięwzięcie</w:t>
      </w:r>
      <w:r>
        <w:rPr>
          <w:rFonts w:ascii="Century Gothic" w:hAnsi="Century Gothic"/>
          <w:spacing w:val="7"/>
          <w:w w:val="106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zalicza się</w:t>
      </w:r>
      <w:r>
        <w:rPr>
          <w:rFonts w:ascii="Century Gothic" w:hAnsi="Century Gothic"/>
          <w:spacing w:val="34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do</w:t>
      </w:r>
      <w:r>
        <w:rPr>
          <w:rFonts w:ascii="Century Gothic" w:hAnsi="Century Gothic"/>
          <w:spacing w:val="24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przedsięwzięć mogących potencjalnie </w:t>
      </w:r>
      <w:r>
        <w:rPr>
          <w:rFonts w:ascii="Century Gothic" w:hAnsi="Century Gothic"/>
          <w:w w:val="103"/>
          <w:sz w:val="21"/>
          <w:szCs w:val="21"/>
          <w:lang w:eastAsia="pl-PL"/>
        </w:rPr>
        <w:t xml:space="preserve">znacząco </w:t>
      </w:r>
      <w:r>
        <w:rPr>
          <w:rFonts w:ascii="Century Gothic" w:hAnsi="Century Gothic"/>
          <w:sz w:val="21"/>
          <w:szCs w:val="21"/>
          <w:lang w:eastAsia="pl-PL"/>
        </w:rPr>
        <w:t>oddziaływać na</w:t>
      </w:r>
      <w:r>
        <w:rPr>
          <w:rFonts w:ascii="Century Gothic" w:hAnsi="Century Gothic"/>
          <w:spacing w:val="50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środowisko </w:t>
      </w:r>
      <w:r>
        <w:rPr>
          <w:rFonts w:ascii="Century Gothic" w:hAnsi="Century Gothic"/>
          <w:w w:val="223"/>
          <w:sz w:val="21"/>
          <w:szCs w:val="21"/>
          <w:lang w:eastAsia="pl-PL"/>
        </w:rPr>
        <w:t>-</w:t>
      </w:r>
      <w:r>
        <w:rPr>
          <w:rFonts w:ascii="Century Gothic" w:hAnsi="Century Gothic"/>
          <w:spacing w:val="-66"/>
          <w:w w:val="223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wymienione jest w</w:t>
      </w:r>
      <w:r>
        <w:rPr>
          <w:rFonts w:ascii="Century Gothic" w:hAnsi="Century Gothic"/>
          <w:spacing w:val="43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bCs/>
          <w:sz w:val="21"/>
          <w:szCs w:val="21"/>
          <w:lang w:eastAsia="pl-PL"/>
        </w:rPr>
        <w:t>§ 3 ust. 1 pkt 34;  Rozporządzenia Rady Ministrów z dnia 10 września 2019 r. w sprawie przedsięwzięć mogących znacząco oddziaływać na środowisko /Dz. U. z 2019 r. poz. 1839/</w:t>
      </w:r>
      <w:r>
        <w:rPr>
          <w:rFonts w:ascii="Century Gothic" w:hAnsi="Century Gothic"/>
          <w:sz w:val="21"/>
          <w:szCs w:val="21"/>
          <w:lang w:eastAsia="pl-PL"/>
        </w:rPr>
        <w:t xml:space="preserve">. </w:t>
      </w:r>
      <w:r>
        <w:rPr>
          <w:rFonts w:ascii="Century Gothic" w:hAnsi="Century Gothic"/>
          <w:w w:val="102"/>
          <w:sz w:val="21"/>
          <w:szCs w:val="21"/>
          <w:lang w:eastAsia="pl-PL"/>
        </w:rPr>
        <w:t xml:space="preserve">Wobec </w:t>
      </w:r>
      <w:r>
        <w:rPr>
          <w:rFonts w:ascii="Century Gothic" w:hAnsi="Century Gothic"/>
          <w:sz w:val="21"/>
          <w:szCs w:val="21"/>
          <w:lang w:eastAsia="pl-PL"/>
        </w:rPr>
        <w:t>powyższego przedmiotowe przedsięwzięcie zalicza się</w:t>
      </w:r>
      <w:r>
        <w:rPr>
          <w:rFonts w:ascii="Century Gothic" w:hAnsi="Century Gothic"/>
          <w:spacing w:val="33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do</w:t>
      </w:r>
      <w:r>
        <w:rPr>
          <w:rFonts w:ascii="Century Gothic" w:hAnsi="Century Gothic"/>
          <w:spacing w:val="42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4"/>
          <w:sz w:val="21"/>
          <w:szCs w:val="21"/>
          <w:lang w:eastAsia="pl-PL"/>
        </w:rPr>
        <w:t xml:space="preserve">przedsięwzięć mogących </w:t>
      </w:r>
      <w:r>
        <w:rPr>
          <w:rFonts w:ascii="Century Gothic" w:hAnsi="Century Gothic"/>
          <w:sz w:val="21"/>
          <w:szCs w:val="21"/>
          <w:lang w:eastAsia="pl-PL"/>
        </w:rPr>
        <w:t xml:space="preserve">potencjalnie  znacząco  oddziaływać  na  środowisko,  dla  których  </w:t>
      </w:r>
      <w:r>
        <w:rPr>
          <w:rFonts w:ascii="Century Gothic" w:hAnsi="Century Gothic"/>
          <w:w w:val="103"/>
          <w:sz w:val="21"/>
          <w:szCs w:val="21"/>
          <w:lang w:eastAsia="pl-PL"/>
        </w:rPr>
        <w:t xml:space="preserve">obowiązek </w:t>
      </w:r>
      <w:r>
        <w:rPr>
          <w:rFonts w:ascii="Century Gothic" w:hAnsi="Century Gothic"/>
          <w:w w:val="108"/>
          <w:sz w:val="21"/>
          <w:szCs w:val="21"/>
          <w:lang w:eastAsia="pl-PL"/>
        </w:rPr>
        <w:t xml:space="preserve">przeprowadzenia </w:t>
      </w:r>
      <w:r>
        <w:rPr>
          <w:rFonts w:ascii="Century Gothic" w:hAnsi="Century Gothic"/>
          <w:sz w:val="21"/>
          <w:szCs w:val="21"/>
          <w:lang w:eastAsia="pl-PL"/>
        </w:rPr>
        <w:t>oceny oddziaływania  na</w:t>
      </w:r>
      <w:r>
        <w:rPr>
          <w:rFonts w:ascii="Century Gothic" w:hAnsi="Century Gothic"/>
          <w:spacing w:val="12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środowisko może</w:t>
      </w:r>
      <w:r>
        <w:rPr>
          <w:rFonts w:ascii="Century Gothic" w:hAnsi="Century Gothic"/>
          <w:spacing w:val="5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być</w:t>
      </w:r>
      <w:r>
        <w:rPr>
          <w:rFonts w:ascii="Century Gothic" w:hAnsi="Century Gothic"/>
          <w:spacing w:val="9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6"/>
          <w:sz w:val="21"/>
          <w:szCs w:val="21"/>
          <w:lang w:eastAsia="pl-PL"/>
        </w:rPr>
        <w:t>stwierdzony.</w:t>
      </w:r>
      <w:r>
        <w:rPr>
          <w:rFonts w:ascii="Century Gothic" w:hAnsi="Century Gothic"/>
          <w:spacing w:val="31"/>
          <w:w w:val="106"/>
          <w:sz w:val="21"/>
          <w:szCs w:val="21"/>
          <w:lang w:eastAsia="pl-PL"/>
        </w:rPr>
        <w:t xml:space="preserve"> </w:t>
      </w:r>
    </w:p>
    <w:p w14:paraId="4241EB11" w14:textId="77777777" w:rsidR="007519C2" w:rsidRDefault="007519C2" w:rsidP="007519C2">
      <w:pPr>
        <w:spacing w:line="276" w:lineRule="auto"/>
        <w:ind w:firstLine="708"/>
        <w:contextualSpacing/>
        <w:jc w:val="both"/>
        <w:rPr>
          <w:rFonts w:ascii="Century Gothic" w:hAnsi="Century Gothic"/>
          <w:w w:val="103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Zgodnie z art. 64 us</w:t>
      </w:r>
      <w:r>
        <w:rPr>
          <w:rFonts w:ascii="Century Gothic" w:hAnsi="Century Gothic"/>
          <w:spacing w:val="4"/>
          <w:sz w:val="21"/>
          <w:szCs w:val="21"/>
          <w:lang w:eastAsia="pl-PL"/>
        </w:rPr>
        <w:t>t</w:t>
      </w:r>
      <w:r>
        <w:rPr>
          <w:rFonts w:ascii="Century Gothic" w:hAnsi="Century Gothic"/>
          <w:sz w:val="21"/>
          <w:szCs w:val="21"/>
          <w:lang w:eastAsia="pl-PL"/>
        </w:rPr>
        <w:t xml:space="preserve">. l pkt 1, 2 i 4 ustawy z dnia 3 października 2008 </w:t>
      </w:r>
      <w:r>
        <w:rPr>
          <w:rFonts w:ascii="Century Gothic" w:hAnsi="Century Gothic"/>
          <w:w w:val="102"/>
          <w:sz w:val="21"/>
          <w:szCs w:val="21"/>
          <w:lang w:eastAsia="pl-PL"/>
        </w:rPr>
        <w:t xml:space="preserve">roku </w:t>
      </w:r>
      <w:r>
        <w:rPr>
          <w:rFonts w:ascii="Century Gothic" w:hAnsi="Century Gothic"/>
          <w:w w:val="102"/>
          <w:sz w:val="21"/>
          <w:szCs w:val="21"/>
          <w:lang w:eastAsia="pl-PL"/>
        </w:rPr>
        <w:br/>
      </w:r>
      <w:r>
        <w:rPr>
          <w:rFonts w:ascii="Century Gothic" w:hAnsi="Century Gothic"/>
          <w:sz w:val="21"/>
          <w:szCs w:val="21"/>
          <w:lang w:eastAsia="pl-PL"/>
        </w:rPr>
        <w:t>o</w:t>
      </w:r>
      <w:r>
        <w:rPr>
          <w:rFonts w:ascii="Century Gothic" w:hAnsi="Century Gothic"/>
          <w:spacing w:val="22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udostępnianiu informacji o</w:t>
      </w:r>
      <w:r>
        <w:rPr>
          <w:rFonts w:ascii="Century Gothic" w:hAnsi="Century Gothic"/>
          <w:spacing w:val="21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środowisku i</w:t>
      </w:r>
      <w:r>
        <w:rPr>
          <w:rFonts w:ascii="Century Gothic" w:hAnsi="Century Gothic"/>
          <w:spacing w:val="18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jego</w:t>
      </w:r>
      <w:r>
        <w:rPr>
          <w:rFonts w:ascii="Century Gothic" w:hAnsi="Century Gothic"/>
          <w:spacing w:val="27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ochroni</w:t>
      </w:r>
      <w:r>
        <w:rPr>
          <w:rFonts w:ascii="Century Gothic" w:hAnsi="Century Gothic"/>
          <w:spacing w:val="-1"/>
          <w:sz w:val="21"/>
          <w:szCs w:val="21"/>
          <w:lang w:eastAsia="pl-PL"/>
        </w:rPr>
        <w:t>e</w:t>
      </w:r>
      <w:r>
        <w:rPr>
          <w:rFonts w:ascii="Century Gothic" w:hAnsi="Century Gothic"/>
          <w:sz w:val="21"/>
          <w:szCs w:val="21"/>
          <w:lang w:eastAsia="pl-PL"/>
        </w:rPr>
        <w:t>, udziale</w:t>
      </w:r>
      <w:r>
        <w:rPr>
          <w:rFonts w:ascii="Century Gothic" w:hAnsi="Century Gothic"/>
          <w:spacing w:val="42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6"/>
          <w:sz w:val="21"/>
          <w:szCs w:val="21"/>
          <w:lang w:eastAsia="pl-PL"/>
        </w:rPr>
        <w:t>społeczeństwa</w:t>
      </w:r>
      <w:r>
        <w:rPr>
          <w:rFonts w:ascii="Century Gothic" w:hAnsi="Century Gothic"/>
          <w:spacing w:val="9"/>
          <w:w w:val="106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pacing w:val="9"/>
          <w:w w:val="106"/>
          <w:sz w:val="21"/>
          <w:szCs w:val="21"/>
          <w:lang w:eastAsia="pl-PL"/>
        </w:rPr>
        <w:br/>
      </w:r>
      <w:r>
        <w:rPr>
          <w:rFonts w:ascii="Century Gothic" w:hAnsi="Century Gothic"/>
          <w:sz w:val="21"/>
          <w:szCs w:val="21"/>
          <w:lang w:eastAsia="pl-PL"/>
        </w:rPr>
        <w:t>w</w:t>
      </w:r>
      <w:r>
        <w:rPr>
          <w:rFonts w:ascii="Century Gothic" w:hAnsi="Century Gothic"/>
          <w:spacing w:val="1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4"/>
          <w:sz w:val="21"/>
          <w:szCs w:val="21"/>
          <w:lang w:eastAsia="pl-PL"/>
        </w:rPr>
        <w:t xml:space="preserve">ochronie </w:t>
      </w:r>
      <w:r>
        <w:rPr>
          <w:rFonts w:ascii="Century Gothic" w:hAnsi="Century Gothic"/>
          <w:sz w:val="21"/>
          <w:szCs w:val="21"/>
          <w:lang w:eastAsia="pl-PL"/>
        </w:rPr>
        <w:t>środowiska oraz</w:t>
      </w:r>
      <w:r>
        <w:rPr>
          <w:rFonts w:ascii="Century Gothic" w:hAnsi="Century Gothic"/>
          <w:spacing w:val="23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o</w:t>
      </w:r>
      <w:r>
        <w:rPr>
          <w:rFonts w:ascii="Century Gothic" w:hAnsi="Century Gothic"/>
          <w:spacing w:val="2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ocenach</w:t>
      </w:r>
      <w:r>
        <w:rPr>
          <w:rFonts w:ascii="Century Gothic" w:hAnsi="Century Gothic"/>
          <w:spacing w:val="43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oddziaływania na środowisko</w:t>
      </w:r>
      <w:r>
        <w:rPr>
          <w:rFonts w:ascii="Century Gothic" w:hAnsi="Century Gothic"/>
          <w:spacing w:val="50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organ</w:t>
      </w:r>
      <w:r>
        <w:rPr>
          <w:rFonts w:ascii="Century Gothic" w:hAnsi="Century Gothic"/>
          <w:spacing w:val="29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prowadzący </w:t>
      </w:r>
      <w:r>
        <w:rPr>
          <w:rFonts w:ascii="Century Gothic" w:hAnsi="Century Gothic"/>
          <w:w w:val="103"/>
          <w:sz w:val="21"/>
          <w:szCs w:val="21"/>
          <w:lang w:eastAsia="pl-PL"/>
        </w:rPr>
        <w:t xml:space="preserve">postępowanie </w:t>
      </w:r>
      <w:r>
        <w:rPr>
          <w:rFonts w:ascii="Century Gothic" w:hAnsi="Century Gothic"/>
          <w:sz w:val="21"/>
          <w:szCs w:val="21"/>
          <w:lang w:eastAsia="pl-PL"/>
        </w:rPr>
        <w:t xml:space="preserve">wystąpił o opinię w sprawie potrzeby </w:t>
      </w:r>
      <w:r>
        <w:rPr>
          <w:rFonts w:ascii="Century Gothic" w:hAnsi="Century Gothic"/>
          <w:w w:val="105"/>
          <w:sz w:val="21"/>
          <w:szCs w:val="21"/>
          <w:lang w:eastAsia="pl-PL"/>
        </w:rPr>
        <w:t>przeprowadzenia</w:t>
      </w:r>
      <w:r>
        <w:rPr>
          <w:rFonts w:ascii="Century Gothic" w:hAnsi="Century Gothic"/>
          <w:spacing w:val="55"/>
          <w:w w:val="10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OOŚ i ewentualnego </w:t>
      </w:r>
      <w:r>
        <w:rPr>
          <w:rFonts w:ascii="Century Gothic" w:hAnsi="Century Gothic"/>
          <w:w w:val="104"/>
          <w:sz w:val="21"/>
          <w:szCs w:val="21"/>
          <w:lang w:eastAsia="pl-PL"/>
        </w:rPr>
        <w:t xml:space="preserve">określenia </w:t>
      </w:r>
      <w:r>
        <w:rPr>
          <w:rFonts w:ascii="Century Gothic" w:hAnsi="Century Gothic"/>
          <w:sz w:val="21"/>
          <w:szCs w:val="21"/>
          <w:lang w:eastAsia="pl-PL"/>
        </w:rPr>
        <w:t>zakresu</w:t>
      </w:r>
      <w:r>
        <w:rPr>
          <w:rFonts w:ascii="Century Gothic" w:hAnsi="Century Gothic"/>
          <w:spacing w:val="-29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raportu do Regionalnego Dyrektora Ochrony </w:t>
      </w:r>
      <w:r>
        <w:rPr>
          <w:rFonts w:ascii="Century Gothic" w:hAnsi="Century Gothic"/>
          <w:w w:val="107"/>
          <w:sz w:val="21"/>
          <w:szCs w:val="21"/>
          <w:lang w:eastAsia="pl-PL"/>
        </w:rPr>
        <w:t xml:space="preserve">Środowiska </w:t>
      </w:r>
      <w:r>
        <w:rPr>
          <w:rFonts w:ascii="Century Gothic" w:hAnsi="Century Gothic"/>
          <w:sz w:val="21"/>
          <w:szCs w:val="21"/>
          <w:lang w:eastAsia="pl-PL"/>
        </w:rPr>
        <w:t xml:space="preserve">w </w:t>
      </w:r>
      <w:r>
        <w:rPr>
          <w:rFonts w:ascii="Century Gothic" w:hAnsi="Century Gothic"/>
          <w:w w:val="104"/>
          <w:sz w:val="21"/>
          <w:szCs w:val="21"/>
          <w:lang w:eastAsia="pl-PL"/>
        </w:rPr>
        <w:t>Poznani</w:t>
      </w:r>
      <w:r>
        <w:rPr>
          <w:rFonts w:ascii="Century Gothic" w:hAnsi="Century Gothic"/>
          <w:spacing w:val="7"/>
          <w:w w:val="105"/>
          <w:sz w:val="21"/>
          <w:szCs w:val="21"/>
          <w:lang w:eastAsia="pl-PL"/>
        </w:rPr>
        <w:t>u</w:t>
      </w:r>
      <w:r>
        <w:rPr>
          <w:rFonts w:ascii="Century Gothic" w:hAnsi="Century Gothic"/>
          <w:w w:val="114"/>
          <w:sz w:val="21"/>
          <w:szCs w:val="21"/>
          <w:lang w:eastAsia="pl-PL"/>
        </w:rPr>
        <w:t xml:space="preserve">, </w:t>
      </w:r>
      <w:r>
        <w:rPr>
          <w:rFonts w:ascii="Century Gothic" w:hAnsi="Century Gothic"/>
          <w:sz w:val="21"/>
          <w:szCs w:val="21"/>
          <w:lang w:eastAsia="pl-PL"/>
        </w:rPr>
        <w:t xml:space="preserve">Państwowego  Powiatowego  Inspektora Sanitarnego w Gnieźnie oraz </w:t>
      </w:r>
      <w:r>
        <w:rPr>
          <w:rFonts w:ascii="Century Gothic" w:hAnsi="Century Gothic"/>
          <w:w w:val="103"/>
          <w:sz w:val="21"/>
          <w:szCs w:val="21"/>
          <w:lang w:eastAsia="pl-PL"/>
        </w:rPr>
        <w:t>Dyrektora Zarządu Zlewni Wód Polskich w Poznaniu.</w:t>
      </w:r>
    </w:p>
    <w:p w14:paraId="75E3C11E" w14:textId="77777777" w:rsidR="007519C2" w:rsidRDefault="007519C2" w:rsidP="007519C2">
      <w:pPr>
        <w:spacing w:after="0" w:line="276" w:lineRule="auto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Organy te wydały opinie/ postanowienia stwierdzające:</w:t>
      </w:r>
    </w:p>
    <w:p w14:paraId="3D7482DA" w14:textId="77777777" w:rsidR="007519C2" w:rsidRDefault="007519C2" w:rsidP="007519C2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Regionalny Dyrektor Ochrony Środowiska w Poznaniu </w:t>
      </w:r>
    </w:p>
    <w:p w14:paraId="39CCAEDA" w14:textId="77777777" w:rsidR="007519C2" w:rsidRDefault="007519C2" w:rsidP="007519C2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Postanowienie</w:t>
      </w:r>
      <w:r>
        <w:rPr>
          <w:rFonts w:ascii="Century Gothic" w:hAnsi="Century Gothic"/>
          <w:spacing w:val="27"/>
          <w:w w:val="112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z dnia 28 sierpnia 2025 roku znak WOO-IV.4220.1313.2025.DG.1. (data</w:t>
      </w:r>
      <w:r>
        <w:rPr>
          <w:rFonts w:ascii="Century Gothic" w:hAnsi="Century Gothic"/>
          <w:spacing w:val="30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wpływu 29.08.2025</w:t>
      </w:r>
      <w:r>
        <w:rPr>
          <w:rFonts w:ascii="Century Gothic" w:hAnsi="Century Gothic"/>
          <w:spacing w:val="36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w w:val="108"/>
          <w:sz w:val="21"/>
          <w:szCs w:val="21"/>
          <w:lang w:eastAsia="pl-PL"/>
        </w:rPr>
        <w:t>r.) – o potrzebie przeprowadzenia oceny oddziaływania na środowisko.</w:t>
      </w:r>
    </w:p>
    <w:p w14:paraId="7C5CA9DF" w14:textId="77777777" w:rsidR="007519C2" w:rsidRDefault="007519C2" w:rsidP="007519C2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Państwowy Powiatowy Inspektor Sanitarny w</w:t>
      </w:r>
      <w:r>
        <w:rPr>
          <w:rFonts w:ascii="Century Gothic" w:hAnsi="Century Gothic"/>
          <w:spacing w:val="24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Gnieźnie </w:t>
      </w:r>
    </w:p>
    <w:p w14:paraId="09EDD790" w14:textId="77777777" w:rsidR="007519C2" w:rsidRDefault="007519C2" w:rsidP="007519C2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Opinia sanitarna z dnia 13 sierpnia 2025 r. znak </w:t>
      </w:r>
      <w:r>
        <w:rPr>
          <w:rFonts w:ascii="Century Gothic" w:hAnsi="Century Gothic"/>
          <w:w w:val="106"/>
          <w:sz w:val="21"/>
          <w:szCs w:val="21"/>
          <w:lang w:eastAsia="pl-PL"/>
        </w:rPr>
        <w:t>ON-NS.9022.5.52.2025</w:t>
      </w:r>
      <w:r>
        <w:rPr>
          <w:rFonts w:ascii="Century Gothic" w:hAnsi="Century Gothic"/>
          <w:spacing w:val="17"/>
          <w:w w:val="106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(data</w:t>
      </w:r>
      <w:r>
        <w:rPr>
          <w:rFonts w:ascii="Century Gothic" w:hAnsi="Century Gothic"/>
          <w:spacing w:val="26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wpływu 13.08.2025 r.</w:t>
      </w:r>
      <w:r>
        <w:rPr>
          <w:rFonts w:ascii="Century Gothic" w:hAnsi="Century Gothic"/>
          <w:w w:val="106"/>
          <w:sz w:val="21"/>
          <w:szCs w:val="21"/>
          <w:lang w:eastAsia="pl-PL"/>
        </w:rPr>
        <w:t xml:space="preserve">) – o braku potrzeby </w:t>
      </w:r>
      <w:r>
        <w:rPr>
          <w:rFonts w:ascii="Century Gothic" w:hAnsi="Century Gothic"/>
          <w:w w:val="108"/>
          <w:sz w:val="21"/>
          <w:szCs w:val="21"/>
          <w:lang w:eastAsia="pl-PL"/>
        </w:rPr>
        <w:t>przeprowadzenia oceny oddziaływania na środowisko.</w:t>
      </w:r>
    </w:p>
    <w:p w14:paraId="0473530F" w14:textId="77777777" w:rsidR="007519C2" w:rsidRDefault="007519C2" w:rsidP="007519C2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Dyrektor Zarządu Zlewni Wód Polskich w</w:t>
      </w:r>
      <w:r>
        <w:rPr>
          <w:rFonts w:ascii="Century Gothic" w:hAnsi="Century Gothic"/>
          <w:spacing w:val="4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Kole </w:t>
      </w:r>
    </w:p>
    <w:p w14:paraId="57460C36" w14:textId="77777777" w:rsidR="007519C2" w:rsidRDefault="007519C2" w:rsidP="007519C2">
      <w:pPr>
        <w:widowControl w:val="0"/>
        <w:numPr>
          <w:ilvl w:val="0"/>
          <w:numId w:val="3"/>
        </w:numPr>
        <w:spacing w:after="0" w:line="276" w:lineRule="auto"/>
        <w:ind w:right="116"/>
        <w:contextualSpacing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>Opinia z</w:t>
      </w:r>
      <w:r>
        <w:rPr>
          <w:rFonts w:ascii="Century Gothic" w:hAnsi="Century Gothic"/>
          <w:spacing w:val="43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 xml:space="preserve">dnia </w:t>
      </w:r>
      <w:r>
        <w:rPr>
          <w:rFonts w:ascii="Century Gothic" w:hAnsi="Century Gothic"/>
          <w:spacing w:val="2"/>
          <w:sz w:val="21"/>
          <w:szCs w:val="21"/>
          <w:lang w:eastAsia="pl-PL"/>
        </w:rPr>
        <w:t>10 września</w:t>
      </w:r>
      <w:r>
        <w:rPr>
          <w:rFonts w:ascii="Century Gothic" w:hAnsi="Century Gothic"/>
          <w:spacing w:val="4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2025</w:t>
      </w:r>
      <w:r>
        <w:rPr>
          <w:rFonts w:ascii="Century Gothic" w:hAnsi="Century Gothic"/>
          <w:spacing w:val="31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r.</w:t>
      </w:r>
      <w:r>
        <w:rPr>
          <w:rFonts w:ascii="Century Gothic" w:hAnsi="Century Gothic"/>
          <w:spacing w:val="14"/>
          <w:sz w:val="21"/>
          <w:szCs w:val="21"/>
          <w:lang w:eastAsia="pl-PL"/>
        </w:rPr>
        <w:t xml:space="preserve"> znak </w:t>
      </w:r>
      <w:r>
        <w:rPr>
          <w:rFonts w:ascii="Century Gothic" w:hAnsi="Century Gothic"/>
          <w:w w:val="105"/>
          <w:sz w:val="21"/>
          <w:szCs w:val="21"/>
          <w:lang w:eastAsia="pl-PL"/>
        </w:rPr>
        <w:t>PZ.ZZŚ.4901.434.2025.PP</w:t>
      </w:r>
      <w:r>
        <w:rPr>
          <w:rFonts w:ascii="Century Gothic" w:hAnsi="Century Gothic"/>
          <w:spacing w:val="8"/>
          <w:w w:val="105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(data</w:t>
      </w:r>
      <w:r>
        <w:rPr>
          <w:rFonts w:ascii="Century Gothic" w:hAnsi="Century Gothic"/>
          <w:spacing w:val="30"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  <w:lang w:eastAsia="pl-PL"/>
        </w:rPr>
        <w:t>wpływu 11.09.205 r.</w:t>
      </w:r>
      <w:r>
        <w:rPr>
          <w:rFonts w:ascii="Century Gothic" w:hAnsi="Century Gothic"/>
          <w:w w:val="103"/>
          <w:sz w:val="21"/>
          <w:szCs w:val="21"/>
          <w:lang w:eastAsia="pl-PL"/>
        </w:rPr>
        <w:t xml:space="preserve">) -  o </w:t>
      </w:r>
      <w:r>
        <w:rPr>
          <w:rFonts w:ascii="Century Gothic" w:hAnsi="Century Gothic"/>
          <w:w w:val="106"/>
          <w:sz w:val="21"/>
          <w:szCs w:val="21"/>
          <w:lang w:eastAsia="pl-PL"/>
        </w:rPr>
        <w:t xml:space="preserve">braku potrzeby </w:t>
      </w:r>
      <w:r>
        <w:rPr>
          <w:rFonts w:ascii="Century Gothic" w:hAnsi="Century Gothic"/>
          <w:w w:val="108"/>
          <w:sz w:val="21"/>
          <w:szCs w:val="21"/>
          <w:lang w:eastAsia="pl-PL"/>
        </w:rPr>
        <w:t>przeprowadzenia oceny oddziaływania na środowisko.</w:t>
      </w:r>
    </w:p>
    <w:p w14:paraId="354F6270" w14:textId="77777777" w:rsidR="007519C2" w:rsidRDefault="007519C2" w:rsidP="007519C2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Wójt Gminy Gniezno, po uwzględnieniu stanowisk organów opiniujących oraz dokładnej analizie przesłanek, wynikających z art. 63 ust. 1. pkt 1 - 3 ustawy z dnia 3 października 2008 r. o udostępnianiu informacji o środowisku i jego ochronie, udziale społeczeństwa w ochronie środowiska oraz o ocenach oddziaływania na środowisko, dnia </w:t>
      </w:r>
      <w:r>
        <w:rPr>
          <w:rFonts w:ascii="Century Gothic" w:hAnsi="Century Gothic"/>
          <w:sz w:val="21"/>
          <w:szCs w:val="21"/>
          <w:lang w:eastAsia="pl-PL"/>
        </w:rPr>
        <w:lastRenderedPageBreak/>
        <w:t xml:space="preserve">17 września 2025 roku wydał Postanowienie znak OŚR.6220.12.2025, w którym stwierdził obowiązek przeprowadzenia oceny oddziaływania na środowisko dla planowanego przedsięwzięcia. </w:t>
      </w:r>
    </w:p>
    <w:p w14:paraId="41802EF7" w14:textId="77777777" w:rsidR="007519C2" w:rsidRDefault="007519C2" w:rsidP="007519C2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</w:rPr>
        <w:t>W związku z powyższym orzeczono jak w sentencji.</w:t>
      </w:r>
    </w:p>
    <w:p w14:paraId="6D96901F" w14:textId="77777777" w:rsidR="007519C2" w:rsidRDefault="007519C2" w:rsidP="007519C2">
      <w:pPr>
        <w:shd w:val="clear" w:color="auto" w:fill="FFFFFF"/>
        <w:spacing w:after="0" w:line="276" w:lineRule="auto"/>
        <w:jc w:val="center"/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</w:pPr>
    </w:p>
    <w:p w14:paraId="4423DFA9" w14:textId="77777777" w:rsidR="007519C2" w:rsidRDefault="007519C2" w:rsidP="007519C2">
      <w:pPr>
        <w:shd w:val="clear" w:color="auto" w:fill="FFFFFF"/>
        <w:spacing w:after="0" w:line="276" w:lineRule="auto"/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</w:pPr>
    </w:p>
    <w:p w14:paraId="2F482D8A" w14:textId="77777777" w:rsidR="007519C2" w:rsidRDefault="007519C2" w:rsidP="007519C2">
      <w:pPr>
        <w:shd w:val="clear" w:color="auto" w:fill="FFFFFF"/>
        <w:spacing w:after="0" w:line="276" w:lineRule="auto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  <w:t>Pouczenie</w:t>
      </w:r>
    </w:p>
    <w:p w14:paraId="7F07C41F" w14:textId="77777777" w:rsidR="007519C2" w:rsidRDefault="007519C2" w:rsidP="007519C2">
      <w:pPr>
        <w:shd w:val="clear" w:color="auto" w:fill="FFFFFF"/>
        <w:spacing w:before="130" w:after="0" w:line="276" w:lineRule="auto"/>
        <w:ind w:right="5" w:firstLine="701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color w:val="000000"/>
          <w:sz w:val="21"/>
          <w:szCs w:val="21"/>
          <w:lang w:eastAsia="pl-PL"/>
        </w:rPr>
        <w:t>Zgodnie z art. 63 ust. 6 ustawy z dnia 3 października 2008 r. o udostępnianiu informacji o środowisku i jego ochronie, udziale społeczeństwa w ochronie środowiska oraz o ocenach oddziaływania na środowisko na niniejsze postanowienie nie przysługuje zażalenie.</w:t>
      </w:r>
    </w:p>
    <w:p w14:paraId="67FBD3EB" w14:textId="77777777" w:rsidR="007519C2" w:rsidRDefault="007519C2" w:rsidP="007519C2">
      <w:pPr>
        <w:shd w:val="clear" w:color="auto" w:fill="FFFFFF"/>
        <w:spacing w:after="0" w:line="276" w:lineRule="auto"/>
        <w:ind w:right="14"/>
        <w:jc w:val="both"/>
        <w:rPr>
          <w:rFonts w:ascii="Century Gothic" w:hAnsi="Century Gothic"/>
          <w:sz w:val="21"/>
          <w:szCs w:val="21"/>
          <w:lang w:eastAsia="pl-PL"/>
        </w:rPr>
      </w:pPr>
    </w:p>
    <w:p w14:paraId="42FDC58C" w14:textId="77777777" w:rsidR="007519C2" w:rsidRDefault="007519C2" w:rsidP="007519C2">
      <w:pPr>
        <w:rPr>
          <w:rFonts w:ascii="Century Gothic" w:hAnsi="Century Gothic"/>
          <w:sz w:val="21"/>
          <w:szCs w:val="21"/>
          <w:u w:val="single"/>
        </w:rPr>
      </w:pPr>
    </w:p>
    <w:p w14:paraId="1C906A46" w14:textId="77777777" w:rsidR="007519C2" w:rsidRDefault="007519C2" w:rsidP="007519C2">
      <w:pPr>
        <w:rPr>
          <w:rFonts w:ascii="Century Gothic" w:hAnsi="Century Gothic"/>
          <w:sz w:val="21"/>
          <w:szCs w:val="21"/>
          <w:u w:val="single"/>
        </w:rPr>
      </w:pPr>
    </w:p>
    <w:p w14:paraId="6B49ADCF" w14:textId="77777777" w:rsidR="007519C2" w:rsidRDefault="007519C2" w:rsidP="007519C2">
      <w:pPr>
        <w:rPr>
          <w:rFonts w:ascii="Century Gothic" w:hAnsi="Century Gothic"/>
          <w:sz w:val="21"/>
          <w:szCs w:val="21"/>
          <w:u w:val="single"/>
        </w:rPr>
      </w:pPr>
    </w:p>
    <w:p w14:paraId="049DC8C0" w14:textId="77777777" w:rsidR="007519C2" w:rsidRDefault="007519C2" w:rsidP="007519C2">
      <w:pPr>
        <w:rPr>
          <w:rFonts w:ascii="Century Gothic" w:hAnsi="Century Gothic"/>
          <w:sz w:val="18"/>
          <w:szCs w:val="21"/>
          <w:u w:val="single"/>
        </w:rPr>
      </w:pPr>
    </w:p>
    <w:p w14:paraId="342B2C9E" w14:textId="77777777" w:rsidR="007519C2" w:rsidRDefault="007519C2" w:rsidP="007519C2">
      <w:pPr>
        <w:rPr>
          <w:rFonts w:ascii="Century Gothic" w:hAnsi="Century Gothic"/>
          <w:sz w:val="18"/>
          <w:szCs w:val="21"/>
          <w:u w:val="single"/>
        </w:rPr>
      </w:pPr>
    </w:p>
    <w:p w14:paraId="775B6C15" w14:textId="77777777" w:rsidR="007519C2" w:rsidRDefault="007519C2" w:rsidP="007519C2">
      <w:pPr>
        <w:rPr>
          <w:rFonts w:ascii="Century Gothic" w:hAnsi="Century Gothic"/>
          <w:sz w:val="18"/>
          <w:szCs w:val="21"/>
          <w:u w:val="single"/>
        </w:rPr>
      </w:pPr>
    </w:p>
    <w:p w14:paraId="094E54CC" w14:textId="77777777" w:rsidR="007519C2" w:rsidRDefault="007519C2" w:rsidP="007519C2">
      <w:pPr>
        <w:rPr>
          <w:rFonts w:ascii="Century Gothic" w:hAnsi="Century Gothic"/>
          <w:sz w:val="18"/>
          <w:szCs w:val="21"/>
          <w:u w:val="single"/>
        </w:rPr>
      </w:pPr>
    </w:p>
    <w:p w14:paraId="1D17D0A1" w14:textId="77777777" w:rsidR="007519C2" w:rsidRDefault="007519C2" w:rsidP="007519C2">
      <w:pPr>
        <w:rPr>
          <w:rFonts w:ascii="Century Gothic" w:hAnsi="Century Gothic"/>
          <w:sz w:val="18"/>
          <w:szCs w:val="21"/>
          <w:u w:val="single"/>
        </w:rPr>
      </w:pPr>
    </w:p>
    <w:p w14:paraId="35AB8502" w14:textId="77777777" w:rsidR="007519C2" w:rsidRDefault="007519C2" w:rsidP="007519C2">
      <w:pPr>
        <w:rPr>
          <w:rFonts w:ascii="Century Gothic" w:hAnsi="Century Gothic"/>
          <w:b/>
          <w:sz w:val="18"/>
          <w:szCs w:val="21"/>
          <w:u w:val="single"/>
        </w:rPr>
      </w:pPr>
      <w:r>
        <w:rPr>
          <w:rFonts w:ascii="Century Gothic" w:hAnsi="Century Gothic"/>
          <w:b/>
          <w:sz w:val="18"/>
          <w:szCs w:val="21"/>
          <w:u w:val="single"/>
        </w:rPr>
        <w:t>Otrzymują:</w:t>
      </w:r>
    </w:p>
    <w:p w14:paraId="101A735F" w14:textId="77777777" w:rsidR="007519C2" w:rsidRDefault="007519C2" w:rsidP="007519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21"/>
        </w:rPr>
      </w:pPr>
      <w:r>
        <w:rPr>
          <w:rFonts w:ascii="Century Gothic" w:hAnsi="Century Gothic"/>
          <w:sz w:val="18"/>
          <w:szCs w:val="21"/>
        </w:rPr>
        <w:t xml:space="preserve">Strony postępowania administracyjnego wg rozdzielnika </w:t>
      </w:r>
    </w:p>
    <w:p w14:paraId="61C8CE97" w14:textId="77777777" w:rsidR="007519C2" w:rsidRDefault="007519C2" w:rsidP="007519C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21"/>
        </w:rPr>
      </w:pPr>
      <w:r>
        <w:rPr>
          <w:rFonts w:ascii="Century Gothic" w:hAnsi="Century Gothic"/>
          <w:sz w:val="18"/>
          <w:szCs w:val="21"/>
        </w:rPr>
        <w:t>a/a (Sprawę prowadzi Rafał Skweres – tel. 61 424 57 66)</w:t>
      </w:r>
    </w:p>
    <w:p w14:paraId="6FAA50D7" w14:textId="77777777" w:rsidR="007519C2" w:rsidRDefault="007519C2" w:rsidP="007519C2">
      <w:pPr>
        <w:shd w:val="clear" w:color="auto" w:fill="FFFFFF"/>
        <w:jc w:val="both"/>
        <w:rPr>
          <w:rFonts w:ascii="Century Gothic" w:hAnsi="Century Gothic"/>
          <w:sz w:val="18"/>
          <w:szCs w:val="21"/>
          <w:u w:val="single"/>
        </w:rPr>
      </w:pPr>
    </w:p>
    <w:p w14:paraId="73EC4E13" w14:textId="77777777" w:rsidR="007519C2" w:rsidRDefault="007519C2" w:rsidP="007519C2">
      <w:pPr>
        <w:rPr>
          <w:rFonts w:ascii="Century Gothic" w:hAnsi="Century Gothic"/>
          <w:b/>
          <w:sz w:val="18"/>
          <w:szCs w:val="21"/>
          <w:u w:val="single"/>
        </w:rPr>
      </w:pPr>
      <w:r>
        <w:rPr>
          <w:rFonts w:ascii="Century Gothic" w:hAnsi="Century Gothic"/>
          <w:b/>
          <w:sz w:val="18"/>
          <w:szCs w:val="21"/>
          <w:u w:val="single"/>
        </w:rPr>
        <w:t>Do wiadomości:</w:t>
      </w:r>
    </w:p>
    <w:p w14:paraId="4B7C266A" w14:textId="77777777" w:rsidR="007519C2" w:rsidRDefault="007519C2" w:rsidP="007519C2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Regionalny Dyrektor Ochrony Środowiska w Poznaniu, ul. Kościuszki 57, 61-891 Poznań</w:t>
      </w:r>
    </w:p>
    <w:p w14:paraId="74DA7F8E" w14:textId="77777777" w:rsidR="007519C2" w:rsidRDefault="007519C2" w:rsidP="007519C2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Państwowy Powiatowy Inspektor Sanitarny w Gnieźnie, ul. Św. Wawrzyńca 18, 62-200 Gniezno</w:t>
      </w:r>
    </w:p>
    <w:p w14:paraId="7D5C5CA0" w14:textId="77777777" w:rsidR="007519C2" w:rsidRDefault="007519C2" w:rsidP="007519C2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Dyrektor Zarządu Zlewni Wód Polskich w Poznaniu, ul. Szewska 1, 61-760 Poznań</w:t>
      </w:r>
    </w:p>
    <w:p w14:paraId="5B5A51A5" w14:textId="77777777" w:rsidR="007519C2" w:rsidRDefault="007519C2" w:rsidP="007519C2">
      <w:pPr>
        <w:tabs>
          <w:tab w:val="left" w:pos="426"/>
        </w:tabs>
        <w:spacing w:line="22" w:lineRule="atLeast"/>
        <w:ind w:right="1"/>
        <w:jc w:val="both"/>
        <w:rPr>
          <w:rFonts w:ascii="Century Gothic" w:hAnsi="Century Gothic"/>
          <w:b/>
          <w:i/>
          <w:iCs/>
          <w:sz w:val="20"/>
          <w:szCs w:val="21"/>
        </w:rPr>
      </w:pPr>
    </w:p>
    <w:p w14:paraId="32FB19F5" w14:textId="77777777" w:rsidR="007519C2" w:rsidRDefault="007519C2" w:rsidP="007519C2">
      <w:pPr>
        <w:pStyle w:val="Tekstpodstawowywcity3"/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  <w:u w:val="single"/>
        </w:rPr>
        <w:t>Uwaga</w:t>
      </w:r>
      <w:r>
        <w:rPr>
          <w:rFonts w:ascii="Century Gothic" w:hAnsi="Century Gothic"/>
          <w:szCs w:val="18"/>
        </w:rPr>
        <w:t xml:space="preserve">: </w:t>
      </w:r>
    </w:p>
    <w:p w14:paraId="661F9EDF" w14:textId="77777777" w:rsidR="007519C2" w:rsidRDefault="007519C2" w:rsidP="007519C2">
      <w:pPr>
        <w:pStyle w:val="Tekstpodstawowywcity3"/>
        <w:ind w:left="0"/>
        <w:jc w:val="both"/>
        <w:rPr>
          <w:rFonts w:ascii="Century Gothic" w:hAnsi="Century Gothic"/>
          <w:b/>
          <w:szCs w:val="18"/>
        </w:rPr>
      </w:pPr>
      <w:r>
        <w:rPr>
          <w:rFonts w:ascii="Century Gothic" w:hAnsi="Century Gothic"/>
          <w:szCs w:val="18"/>
        </w:rPr>
        <w:tab/>
        <w:t xml:space="preserve">Ponieważ w powyższej sprawie liczba stron postępowania przekracza 10, zgodnie z art. 74 ust.3 ustawy z dnia 3 października </w:t>
      </w:r>
      <w:r>
        <w:rPr>
          <w:rFonts w:ascii="Century Gothic" w:hAnsi="Century Gothic"/>
          <w:bCs/>
          <w:szCs w:val="18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hAnsi="Century Gothic"/>
          <w:szCs w:val="18"/>
        </w:rPr>
        <w:t xml:space="preserve">oraz art. 49 Kodeksu postępowania administracyjnego – zawiadomienie stron w toczącym się postępowaniu zostaje podane w formie obwieszczenia. Doręczenie uważa się za dokonane po upływie czternastu dni od dnia publicznego ogłoszenia w Biuletynie Informacji Publicznej. Publiczne udostępnienie następuje z dniem </w:t>
      </w:r>
      <w:r>
        <w:rPr>
          <w:rFonts w:ascii="Century Gothic" w:hAnsi="Century Gothic"/>
          <w:b/>
          <w:szCs w:val="18"/>
        </w:rPr>
        <w:t xml:space="preserve">15 października 2025 roku. </w:t>
      </w:r>
    </w:p>
    <w:p w14:paraId="661ECD2A" w14:textId="77777777" w:rsidR="007519C2" w:rsidRDefault="007519C2" w:rsidP="007519C2">
      <w:pPr>
        <w:pStyle w:val="Tekstpodstawowywcity3"/>
        <w:ind w:left="0"/>
        <w:jc w:val="both"/>
        <w:rPr>
          <w:rFonts w:ascii="Century Gothic" w:hAnsi="Century Gothic"/>
          <w:i/>
          <w:sz w:val="21"/>
          <w:szCs w:val="21"/>
        </w:rPr>
      </w:pPr>
    </w:p>
    <w:p w14:paraId="46B1C3A3" w14:textId="77777777" w:rsidR="007519C2" w:rsidRDefault="007519C2" w:rsidP="007519C2">
      <w:pPr>
        <w:spacing w:line="480" w:lineRule="auto"/>
        <w:rPr>
          <w:rFonts w:ascii="Century Gothic" w:hAnsi="Century Gothic"/>
          <w:sz w:val="20"/>
          <w:szCs w:val="21"/>
          <w:u w:val="single"/>
        </w:rPr>
      </w:pPr>
      <w:r>
        <w:rPr>
          <w:rFonts w:ascii="Century Gothic" w:hAnsi="Century Gothic"/>
          <w:sz w:val="20"/>
          <w:szCs w:val="21"/>
          <w:u w:val="single"/>
        </w:rPr>
        <w:t>Wywieszono na tablicy ogłoszeń ……………………………………………….…….. na okres od dnia  …………….. do dnia …………………….. (włącznie)</w:t>
      </w:r>
    </w:p>
    <w:p w14:paraId="2CAB15F7" w14:textId="77777777" w:rsidR="007519C2" w:rsidRDefault="007519C2" w:rsidP="007519C2">
      <w:pPr>
        <w:spacing w:line="360" w:lineRule="auto"/>
        <w:ind w:left="360"/>
        <w:jc w:val="both"/>
        <w:rPr>
          <w:rFonts w:ascii="Century Gothic" w:hAnsi="Century Gothic"/>
          <w:sz w:val="20"/>
          <w:szCs w:val="21"/>
        </w:rPr>
      </w:pPr>
      <w:r>
        <w:rPr>
          <w:rFonts w:ascii="Century Gothic" w:hAnsi="Century Gothic"/>
          <w:sz w:val="20"/>
          <w:szCs w:val="21"/>
        </w:rPr>
        <w:t xml:space="preserve">Podpis i pieczątka </w:t>
      </w:r>
    </w:p>
    <w:p w14:paraId="04609843" w14:textId="77777777" w:rsidR="00EE1F09" w:rsidRDefault="00EE1F09"/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EDE4F92"/>
    <w:multiLevelType w:val="hybridMultilevel"/>
    <w:tmpl w:val="FC6C5E2A"/>
    <w:lvl w:ilvl="0" w:tplc="7B32A4BC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111170245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19681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90686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79311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9912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C2"/>
    <w:rsid w:val="00240946"/>
    <w:rsid w:val="007519C2"/>
    <w:rsid w:val="00CE7316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6F8A"/>
  <w15:chartTrackingRefBased/>
  <w15:docId w15:val="{41BD0804-C7CB-4614-BCE5-2ADFD127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9C2"/>
    <w:pPr>
      <w:spacing w:line="254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9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9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9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9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9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9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9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9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9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9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9C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7519C2"/>
    <w:pPr>
      <w:spacing w:after="12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7519C2"/>
    <w:rPr>
      <w:rFonts w:ascii="Calibri" w:eastAsia="Times New Roman" w:hAnsi="Calibri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7519C2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7519C2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7519C2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7519C2"/>
    <w:rPr>
      <w:rFonts w:ascii="Times New Roman" w:eastAsia="Calibri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2025-10-10T08:57:00Z</dcterms:created>
  <dcterms:modified xsi:type="dcterms:W3CDTF">2025-10-10T08:57:00Z</dcterms:modified>
</cp:coreProperties>
</file>