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6D1D" w14:textId="77777777" w:rsidR="003B31BB" w:rsidRDefault="003B31BB" w:rsidP="003B31BB">
      <w:pPr>
        <w:keepNext/>
        <w:keepLines/>
        <w:spacing w:before="40" w:after="0" w:line="276" w:lineRule="auto"/>
        <w:jc w:val="right"/>
        <w:outlineLvl w:val="4"/>
        <w:rPr>
          <w:rFonts w:ascii="Century Gothic" w:hAnsi="Century Gothic"/>
          <w:sz w:val="21"/>
          <w:szCs w:val="21"/>
          <w:lang w:eastAsia="pl-PL"/>
        </w:rPr>
      </w:pPr>
      <w:r>
        <w:rPr>
          <w:rFonts w:ascii="Century Gothic" w:hAnsi="Century Gothic"/>
          <w:sz w:val="21"/>
          <w:szCs w:val="21"/>
          <w:lang w:eastAsia="pl-PL"/>
        </w:rPr>
        <w:t>Gniezno, dnia 1 kwietnia 2025 r.</w:t>
      </w:r>
    </w:p>
    <w:p w14:paraId="4007C229" w14:textId="77777777" w:rsidR="003B31BB" w:rsidRDefault="003B31BB" w:rsidP="003B31BB">
      <w:pPr>
        <w:keepNext/>
        <w:keepLines/>
        <w:spacing w:before="40" w:after="0" w:line="276" w:lineRule="auto"/>
        <w:outlineLvl w:val="5"/>
        <w:rPr>
          <w:rFonts w:ascii="Century Gothic" w:hAnsi="Century Gothic"/>
          <w:sz w:val="21"/>
          <w:szCs w:val="21"/>
          <w:lang w:eastAsia="pl-PL"/>
        </w:rPr>
      </w:pPr>
      <w:r>
        <w:rPr>
          <w:rFonts w:ascii="Century Gothic" w:hAnsi="Century Gothic"/>
          <w:sz w:val="21"/>
          <w:szCs w:val="21"/>
          <w:lang w:eastAsia="pl-PL"/>
        </w:rPr>
        <w:t>OŚR. 6220.8.2024</w:t>
      </w:r>
    </w:p>
    <w:p w14:paraId="04B06375" w14:textId="77777777" w:rsidR="003B31BB" w:rsidRDefault="003B31BB" w:rsidP="003B31BB">
      <w:pPr>
        <w:tabs>
          <w:tab w:val="left" w:pos="426"/>
        </w:tabs>
        <w:spacing w:line="276" w:lineRule="auto"/>
        <w:jc w:val="center"/>
        <w:rPr>
          <w:rFonts w:ascii="Century Gothic" w:hAnsi="Century Gothic"/>
          <w:b/>
          <w:sz w:val="21"/>
          <w:szCs w:val="21"/>
          <w:u w:val="single"/>
        </w:rPr>
      </w:pPr>
    </w:p>
    <w:p w14:paraId="7DE43AB2" w14:textId="77777777" w:rsidR="003B31BB" w:rsidRDefault="003B31BB" w:rsidP="003B31BB">
      <w:pPr>
        <w:tabs>
          <w:tab w:val="left" w:pos="426"/>
        </w:tabs>
        <w:spacing w:line="276" w:lineRule="auto"/>
        <w:jc w:val="center"/>
        <w:rPr>
          <w:rFonts w:ascii="Century Gothic" w:hAnsi="Century Gothic"/>
          <w:b/>
          <w:sz w:val="21"/>
          <w:szCs w:val="21"/>
          <w:u w:val="single"/>
        </w:rPr>
      </w:pPr>
      <w:r>
        <w:rPr>
          <w:rFonts w:ascii="Century Gothic" w:hAnsi="Century Gothic"/>
          <w:b/>
          <w:sz w:val="21"/>
          <w:szCs w:val="21"/>
          <w:u w:val="single"/>
        </w:rPr>
        <w:t>OBWIESZCZENIE</w:t>
      </w:r>
    </w:p>
    <w:p w14:paraId="37ACAB89" w14:textId="77777777" w:rsidR="003B31BB" w:rsidRDefault="003B31BB" w:rsidP="003B31BB">
      <w:pPr>
        <w:spacing w:line="276" w:lineRule="auto"/>
        <w:ind w:firstLine="567"/>
        <w:jc w:val="both"/>
        <w:rPr>
          <w:rFonts w:ascii="Century Gothic" w:hAnsi="Century Gothic"/>
          <w:b/>
          <w:sz w:val="21"/>
          <w:szCs w:val="21"/>
        </w:rPr>
      </w:pPr>
      <w:r>
        <w:rPr>
          <w:rFonts w:ascii="Century Gothic" w:hAnsi="Century Gothic" w:cs="Calibri"/>
          <w:sz w:val="21"/>
          <w:szCs w:val="21"/>
        </w:rPr>
        <w:t xml:space="preserve">Na podstawie art. 49 ustawy z dnia 14 czerwca 1960 r. </w:t>
      </w:r>
      <w:r>
        <w:rPr>
          <w:rFonts w:ascii="Century Gothic" w:hAnsi="Century Gothic" w:cs="Calibri"/>
          <w:i/>
          <w:sz w:val="21"/>
          <w:szCs w:val="21"/>
        </w:rPr>
        <w:t xml:space="preserve">kodeks postępowania administracyjnego </w:t>
      </w:r>
      <w:r>
        <w:rPr>
          <w:rFonts w:ascii="Century Gothic" w:hAnsi="Century Gothic" w:cs="Calibri"/>
          <w:sz w:val="21"/>
          <w:szCs w:val="21"/>
        </w:rPr>
        <w:t xml:space="preserve">/Dz. U. 2024 r., poz. 572/, w związku z art. 74 ust. 3 ustawy </w:t>
      </w:r>
      <w:r>
        <w:rPr>
          <w:rFonts w:ascii="Century Gothic" w:hAnsi="Century Gothic" w:cs="Calibri"/>
          <w:sz w:val="21"/>
          <w:szCs w:val="21"/>
        </w:rPr>
        <w:br/>
        <w:t xml:space="preserve">z dnia 3 października </w:t>
      </w:r>
      <w:r>
        <w:rPr>
          <w:rFonts w:ascii="Century Gothic" w:hAnsi="Century Gothic" w:cs="Calibri"/>
          <w:bCs/>
          <w:sz w:val="21"/>
          <w:szCs w:val="21"/>
        </w:rPr>
        <w:t xml:space="preserve">2008 r. </w:t>
      </w:r>
      <w:r>
        <w:rPr>
          <w:rFonts w:ascii="Century Gothic" w:hAnsi="Century Gothic" w:cs="Calibri"/>
          <w:bCs/>
          <w:i/>
          <w:sz w:val="21"/>
          <w:szCs w:val="21"/>
        </w:rPr>
        <w:t>o udostępnianiu informacji o środowisku i jego ochronie, udziale społeczeństwa w ochronie środowiska oraz o ocenach oddziaływania na środowisko</w:t>
      </w:r>
      <w:r>
        <w:rPr>
          <w:rFonts w:ascii="Century Gothic" w:hAnsi="Century Gothic" w:cs="Calibri"/>
          <w:bCs/>
          <w:sz w:val="21"/>
          <w:szCs w:val="21"/>
        </w:rPr>
        <w:t xml:space="preserve"> </w:t>
      </w:r>
      <w:r>
        <w:rPr>
          <w:rFonts w:ascii="Century Gothic" w:hAnsi="Century Gothic" w:cs="Calibri"/>
          <w:sz w:val="21"/>
          <w:szCs w:val="21"/>
        </w:rPr>
        <w:t xml:space="preserve">/Dz. U. z 2024 r., poz. 1112/ </w:t>
      </w:r>
      <w:r>
        <w:rPr>
          <w:rFonts w:ascii="Century Gothic" w:hAnsi="Century Gothic" w:cs="Calibri"/>
          <w:b/>
          <w:sz w:val="21"/>
          <w:szCs w:val="21"/>
        </w:rPr>
        <w:t xml:space="preserve">Wójt Gminy Gniezno </w:t>
      </w:r>
      <w:r>
        <w:rPr>
          <w:rFonts w:ascii="Century Gothic" w:hAnsi="Century Gothic" w:cs="Calibri"/>
          <w:bCs/>
          <w:sz w:val="21"/>
          <w:szCs w:val="21"/>
        </w:rPr>
        <w:t>zawiadamia</w:t>
      </w:r>
      <w:r>
        <w:rPr>
          <w:rFonts w:ascii="Century Gothic" w:hAnsi="Century Gothic" w:cs="Calibri"/>
          <w:b/>
          <w:bCs/>
          <w:sz w:val="21"/>
          <w:szCs w:val="21"/>
        </w:rPr>
        <w:t xml:space="preserve"> </w:t>
      </w:r>
      <w:r>
        <w:rPr>
          <w:rFonts w:ascii="Century Gothic" w:hAnsi="Century Gothic" w:cs="Calibri"/>
          <w:bCs/>
          <w:sz w:val="21"/>
          <w:szCs w:val="21"/>
        </w:rPr>
        <w:t>strony postępowania administracyjnego o wydanej</w:t>
      </w:r>
      <w:r>
        <w:rPr>
          <w:rFonts w:ascii="Century Gothic" w:hAnsi="Century Gothic" w:cs="Calibri"/>
          <w:sz w:val="21"/>
          <w:szCs w:val="21"/>
        </w:rPr>
        <w:t xml:space="preserve"> dnia 1 kwietnia 2025 r. decyzji </w:t>
      </w:r>
      <w:r>
        <w:rPr>
          <w:rFonts w:ascii="Century Gothic" w:hAnsi="Century Gothic" w:cs="Calibri"/>
          <w:sz w:val="21"/>
          <w:szCs w:val="21"/>
        </w:rPr>
        <w:br/>
        <w:t>o środowiskowych uwarunkowaniach</w:t>
      </w:r>
      <w:r>
        <w:rPr>
          <w:rFonts w:ascii="Century Gothic" w:hAnsi="Century Gothic" w:cs="Calibri"/>
          <w:b/>
          <w:sz w:val="21"/>
          <w:szCs w:val="21"/>
        </w:rPr>
        <w:t xml:space="preserve"> </w:t>
      </w:r>
      <w:r>
        <w:rPr>
          <w:rFonts w:ascii="Century Gothic" w:hAnsi="Century Gothic" w:cs="Calibri"/>
          <w:sz w:val="21"/>
          <w:szCs w:val="21"/>
        </w:rPr>
        <w:t>dla przedsięwzięcia polegającego na</w:t>
      </w:r>
      <w:bookmarkStart w:id="0" w:name="_Hlk75772086"/>
      <w:r>
        <w:rPr>
          <w:rFonts w:ascii="Century Gothic" w:hAnsi="Century Gothic"/>
          <w:b/>
          <w:sz w:val="21"/>
          <w:szCs w:val="21"/>
        </w:rPr>
        <w:t xml:space="preserve"> </w:t>
      </w:r>
      <w:r>
        <w:rPr>
          <w:rFonts w:ascii="Century Gothic" w:hAnsi="Century Gothic"/>
          <w:b/>
          <w:bCs/>
          <w:sz w:val="21"/>
          <w:szCs w:val="21"/>
        </w:rPr>
        <w:t>wykonaniu urządzenia umożliwiającego pobór wód podziemnych o zdolności poboru 50 m3/h oraz gospodarowanie wodą w rolnictwie pn. melioracji na terenie działki nr 1/4 w miejscowości Modliszewo, Gmina Gniezno</w:t>
      </w:r>
      <w:r>
        <w:rPr>
          <w:rFonts w:ascii="Century Gothic" w:hAnsi="Century Gothic" w:cs="Calibri"/>
          <w:sz w:val="21"/>
          <w:szCs w:val="21"/>
        </w:rPr>
        <w:t>,</w:t>
      </w:r>
      <w:r>
        <w:rPr>
          <w:rFonts w:ascii="Century Gothic" w:hAnsi="Century Gothic" w:cs="Calibri"/>
          <w:b/>
          <w:sz w:val="21"/>
          <w:szCs w:val="21"/>
        </w:rPr>
        <w:t xml:space="preserve"> </w:t>
      </w:r>
      <w:bookmarkEnd w:id="0"/>
      <w:r>
        <w:rPr>
          <w:rFonts w:ascii="Century Gothic" w:hAnsi="Century Gothic" w:cs="Calibri"/>
          <w:bCs/>
          <w:sz w:val="21"/>
          <w:szCs w:val="21"/>
        </w:rPr>
        <w:t>której treść podaje poniżej.</w:t>
      </w:r>
      <w:r>
        <w:rPr>
          <w:rFonts w:ascii="Century Gothic" w:hAnsi="Century Gothic" w:cs="Calibri"/>
          <w:b/>
          <w:bCs/>
          <w:sz w:val="21"/>
          <w:szCs w:val="21"/>
        </w:rPr>
        <w:t xml:space="preserve"> </w:t>
      </w:r>
    </w:p>
    <w:p w14:paraId="763D7DC2" w14:textId="77777777" w:rsidR="003B31BB" w:rsidRDefault="003B31BB" w:rsidP="003B31BB">
      <w:pPr>
        <w:spacing w:after="120" w:line="240" w:lineRule="auto"/>
        <w:ind w:left="283"/>
        <w:jc w:val="both"/>
        <w:rPr>
          <w:rFonts w:ascii="Century Gothic" w:hAnsi="Century Gothic"/>
          <w:b/>
          <w:sz w:val="16"/>
          <w:szCs w:val="16"/>
          <w:lang w:eastAsia="pl-PL"/>
        </w:rPr>
      </w:pPr>
      <w:r>
        <w:rPr>
          <w:rFonts w:ascii="Century Gothic" w:hAnsi="Century Gothic"/>
          <w:b/>
          <w:sz w:val="16"/>
          <w:szCs w:val="16"/>
          <w:u w:val="single"/>
          <w:lang w:eastAsia="pl-PL"/>
        </w:rPr>
        <w:t>Uwaga</w:t>
      </w:r>
      <w:r>
        <w:rPr>
          <w:rFonts w:ascii="Century Gothic" w:hAnsi="Century Gothic"/>
          <w:b/>
          <w:sz w:val="16"/>
          <w:szCs w:val="16"/>
          <w:lang w:eastAsia="pl-PL"/>
        </w:rPr>
        <w:t>:</w:t>
      </w:r>
    </w:p>
    <w:p w14:paraId="300E7742" w14:textId="77777777" w:rsidR="003B31BB" w:rsidRDefault="003B31BB" w:rsidP="003B31BB">
      <w:pPr>
        <w:spacing w:after="120" w:line="240" w:lineRule="auto"/>
        <w:jc w:val="both"/>
        <w:rPr>
          <w:rFonts w:ascii="Century Gothic" w:hAnsi="Century Gothic"/>
          <w:sz w:val="16"/>
          <w:szCs w:val="16"/>
          <w:lang w:eastAsia="pl-PL"/>
        </w:rPr>
      </w:pPr>
      <w:r>
        <w:rPr>
          <w:rFonts w:ascii="Century Gothic" w:hAnsi="Century Gothic"/>
          <w:sz w:val="16"/>
          <w:szCs w:val="16"/>
          <w:lang w:eastAsia="pl-PL"/>
        </w:rPr>
        <w:tab/>
        <w:t xml:space="preserve">Ponieważ w powyższej sprawie liczba stron postępowania przekracza 10, zgodnie z art. 74 ust. 3 ustawy </w:t>
      </w:r>
      <w:r>
        <w:rPr>
          <w:rFonts w:ascii="Century Gothic" w:hAnsi="Century Gothic"/>
          <w:sz w:val="16"/>
          <w:szCs w:val="16"/>
          <w:lang w:eastAsia="pl-PL"/>
        </w:rPr>
        <w:br/>
        <w:t xml:space="preserve">z dnia 3 października 2008 roku o udostępnianiu informacji o środowisku i jego ochronie, udziale społeczeństwa </w:t>
      </w:r>
      <w:r>
        <w:rPr>
          <w:rFonts w:ascii="Century Gothic" w:hAnsi="Century Gothic"/>
          <w:sz w:val="16"/>
          <w:szCs w:val="16"/>
          <w:lang w:eastAsia="pl-PL"/>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hAnsi="Century Gothic"/>
          <w:b/>
          <w:bCs/>
          <w:sz w:val="16"/>
          <w:szCs w:val="16"/>
          <w:lang w:eastAsia="pl-PL"/>
        </w:rPr>
        <w:t>2 kwietnia 2025 roku</w:t>
      </w:r>
    </w:p>
    <w:p w14:paraId="3601FB84" w14:textId="77777777" w:rsidR="003B31BB" w:rsidRDefault="003B31BB" w:rsidP="003B31BB">
      <w:pPr>
        <w:tabs>
          <w:tab w:val="left" w:pos="720"/>
          <w:tab w:val="left" w:pos="1080"/>
          <w:tab w:val="left" w:pos="1260"/>
          <w:tab w:val="left" w:pos="2340"/>
        </w:tabs>
        <w:spacing w:after="0" w:line="276" w:lineRule="auto"/>
        <w:jc w:val="right"/>
        <w:rPr>
          <w:rFonts w:ascii="Century Gothic" w:hAnsi="Century Gothic"/>
          <w:color w:val="FF0000"/>
          <w:sz w:val="21"/>
          <w:szCs w:val="21"/>
          <w:lang w:eastAsia="pl-PL"/>
        </w:rPr>
      </w:pPr>
    </w:p>
    <w:p w14:paraId="051AB6F2" w14:textId="77777777" w:rsidR="003B31BB" w:rsidRDefault="003B31BB" w:rsidP="003B31BB">
      <w:pPr>
        <w:tabs>
          <w:tab w:val="left" w:pos="720"/>
          <w:tab w:val="left" w:pos="1080"/>
          <w:tab w:val="left" w:pos="1260"/>
          <w:tab w:val="left" w:pos="2340"/>
        </w:tabs>
        <w:spacing w:after="0" w:line="276" w:lineRule="auto"/>
        <w:jc w:val="right"/>
        <w:rPr>
          <w:rFonts w:ascii="Century Gothic" w:hAnsi="Century Gothic"/>
          <w:sz w:val="21"/>
          <w:szCs w:val="21"/>
          <w:lang w:eastAsia="pl-PL"/>
        </w:rPr>
      </w:pPr>
      <w:r>
        <w:rPr>
          <w:rFonts w:ascii="Century Gothic" w:hAnsi="Century Gothic"/>
          <w:sz w:val="21"/>
          <w:szCs w:val="21"/>
          <w:lang w:eastAsia="pl-PL"/>
        </w:rPr>
        <w:t>Gniezno, dnia 1 kwietnia 2025 r.</w:t>
      </w:r>
    </w:p>
    <w:p w14:paraId="6CE91A08" w14:textId="77777777" w:rsidR="003B31BB" w:rsidRDefault="003B31BB" w:rsidP="003B31BB">
      <w:pPr>
        <w:keepNext/>
        <w:keepLines/>
        <w:spacing w:before="40" w:after="0" w:line="276" w:lineRule="auto"/>
        <w:outlineLvl w:val="5"/>
        <w:rPr>
          <w:rFonts w:ascii="Century Gothic" w:hAnsi="Century Gothic"/>
          <w:sz w:val="21"/>
          <w:szCs w:val="21"/>
          <w:lang w:eastAsia="pl-PL"/>
        </w:rPr>
      </w:pPr>
      <w:r>
        <w:rPr>
          <w:rFonts w:ascii="Century Gothic" w:hAnsi="Century Gothic"/>
          <w:sz w:val="21"/>
          <w:szCs w:val="21"/>
          <w:lang w:eastAsia="pl-PL"/>
        </w:rPr>
        <w:t>OŚR. 6220.8.2024</w:t>
      </w:r>
    </w:p>
    <w:p w14:paraId="4598A6FB" w14:textId="77777777" w:rsidR="003B31BB" w:rsidRDefault="003B31BB" w:rsidP="003B31BB">
      <w:pPr>
        <w:keepNext/>
        <w:spacing w:after="0" w:line="276" w:lineRule="auto"/>
        <w:outlineLvl w:val="0"/>
        <w:rPr>
          <w:rFonts w:ascii="Century Gothic" w:hAnsi="Century Gothic"/>
          <w:b/>
          <w:bCs/>
          <w:szCs w:val="21"/>
          <w:lang w:eastAsia="pl-PL"/>
        </w:rPr>
      </w:pPr>
    </w:p>
    <w:p w14:paraId="0C4AD19D" w14:textId="77777777" w:rsidR="003B31BB" w:rsidRDefault="003B31BB" w:rsidP="003B31BB">
      <w:pPr>
        <w:keepNext/>
        <w:spacing w:after="0" w:line="240" w:lineRule="auto"/>
        <w:jc w:val="center"/>
        <w:outlineLvl w:val="0"/>
        <w:rPr>
          <w:rFonts w:ascii="Century Gothic" w:hAnsi="Century Gothic"/>
          <w:b/>
          <w:bCs/>
          <w:sz w:val="24"/>
          <w:szCs w:val="21"/>
          <w:lang w:eastAsia="pl-PL"/>
        </w:rPr>
      </w:pPr>
      <w:r>
        <w:rPr>
          <w:rFonts w:ascii="Century Gothic" w:hAnsi="Century Gothic"/>
          <w:b/>
          <w:bCs/>
          <w:sz w:val="24"/>
          <w:szCs w:val="21"/>
          <w:lang w:eastAsia="pl-PL"/>
        </w:rPr>
        <w:t>Decyzja</w:t>
      </w:r>
    </w:p>
    <w:p w14:paraId="2D583320" w14:textId="77777777" w:rsidR="003B31BB" w:rsidRDefault="003B31BB" w:rsidP="003B31BB">
      <w:pPr>
        <w:spacing w:after="0" w:line="240" w:lineRule="auto"/>
        <w:jc w:val="center"/>
        <w:rPr>
          <w:rFonts w:ascii="Century Gothic" w:hAnsi="Century Gothic"/>
          <w:sz w:val="21"/>
          <w:szCs w:val="21"/>
          <w:lang w:eastAsia="pl-PL"/>
        </w:rPr>
      </w:pPr>
      <w:r>
        <w:rPr>
          <w:rFonts w:ascii="Century Gothic" w:hAnsi="Century Gothic"/>
          <w:b/>
          <w:bCs/>
          <w:sz w:val="21"/>
          <w:szCs w:val="21"/>
          <w:lang w:eastAsia="pl-PL"/>
        </w:rPr>
        <w:t>o środowiskowych uwarunkowaniach</w:t>
      </w:r>
    </w:p>
    <w:p w14:paraId="2BAE2A38" w14:textId="77777777" w:rsidR="003B31BB" w:rsidRDefault="003B31BB" w:rsidP="003B31BB">
      <w:pPr>
        <w:spacing w:after="0" w:line="276" w:lineRule="auto"/>
        <w:jc w:val="both"/>
        <w:rPr>
          <w:rFonts w:ascii="Century Gothic" w:hAnsi="Century Gothic"/>
          <w:szCs w:val="21"/>
          <w:lang w:eastAsia="pl-PL"/>
        </w:rPr>
      </w:pPr>
    </w:p>
    <w:p w14:paraId="539666C8" w14:textId="77777777" w:rsidR="003B31BB" w:rsidRDefault="003B31BB" w:rsidP="003B31BB">
      <w:pPr>
        <w:spacing w:after="0" w:line="276" w:lineRule="auto"/>
        <w:jc w:val="both"/>
        <w:rPr>
          <w:rFonts w:ascii="Century Gothic" w:hAnsi="Century Gothic"/>
          <w:b/>
          <w:sz w:val="21"/>
          <w:szCs w:val="21"/>
        </w:rPr>
      </w:pPr>
      <w:r>
        <w:rPr>
          <w:rFonts w:ascii="Century Gothic" w:hAnsi="Century Gothic"/>
          <w:sz w:val="21"/>
          <w:szCs w:val="21"/>
          <w:lang w:eastAsia="pl-PL"/>
        </w:rPr>
        <w:tab/>
      </w:r>
      <w:r>
        <w:rPr>
          <w:rFonts w:ascii="Century Gothic" w:hAnsi="Century Gothic" w:cs="Calibri"/>
          <w:sz w:val="21"/>
          <w:szCs w:val="21"/>
          <w:lang w:eastAsia="pl-PL"/>
        </w:rPr>
        <w:t xml:space="preserve">Na podstawie art. 71 ust. 1 i ust. 2 pkt 2, art. 75 ust. 1 pkt. 4, art. 84 oraz 85 ust. 1, ust. 2 pkt 2 ustawy z dnia 3 października </w:t>
      </w:r>
      <w:r>
        <w:rPr>
          <w:rFonts w:ascii="Century Gothic" w:hAnsi="Century Gothic" w:cs="Calibri"/>
          <w:bCs/>
          <w:sz w:val="21"/>
          <w:szCs w:val="21"/>
          <w:lang w:eastAsia="pl-PL"/>
        </w:rPr>
        <w:t xml:space="preserve">2008 roku </w:t>
      </w:r>
      <w:r>
        <w:rPr>
          <w:rFonts w:ascii="Century Gothic" w:hAnsi="Century Gothic" w:cs="Calibri"/>
          <w:bCs/>
          <w:i/>
          <w:sz w:val="21"/>
          <w:szCs w:val="21"/>
          <w:lang w:eastAsia="pl-PL"/>
        </w:rPr>
        <w:t xml:space="preserve">o udostępnianiu informacji </w:t>
      </w:r>
      <w:r>
        <w:rPr>
          <w:rFonts w:ascii="Century Gothic" w:hAnsi="Century Gothic" w:cs="Calibri"/>
          <w:bCs/>
          <w:i/>
          <w:sz w:val="21"/>
          <w:szCs w:val="21"/>
          <w:lang w:eastAsia="pl-PL"/>
        </w:rPr>
        <w:br/>
        <w:t xml:space="preserve">o środowisku i jego ochronie, udziale społeczeństwa w ochronie środowiska oraz </w:t>
      </w:r>
      <w:r>
        <w:rPr>
          <w:rFonts w:ascii="Century Gothic" w:hAnsi="Century Gothic" w:cs="Calibri"/>
          <w:bCs/>
          <w:i/>
          <w:sz w:val="21"/>
          <w:szCs w:val="21"/>
          <w:lang w:eastAsia="pl-PL"/>
        </w:rPr>
        <w:br/>
        <w:t>o ocenach oddziaływania na środowisko</w:t>
      </w:r>
      <w:r>
        <w:rPr>
          <w:rFonts w:ascii="Century Gothic" w:hAnsi="Century Gothic" w:cs="Calibri"/>
          <w:bCs/>
          <w:sz w:val="21"/>
          <w:szCs w:val="21"/>
          <w:lang w:eastAsia="pl-PL"/>
        </w:rPr>
        <w:t xml:space="preserve"> </w:t>
      </w:r>
      <w:r>
        <w:rPr>
          <w:rFonts w:ascii="Century Gothic" w:hAnsi="Century Gothic" w:cs="Calibri"/>
          <w:sz w:val="21"/>
          <w:szCs w:val="21"/>
          <w:lang w:eastAsia="pl-PL"/>
        </w:rPr>
        <w:t xml:space="preserve">/Dz. U. z 2024 r., poz. 1112/ oraz art. 104 ustawy z dnia 14 czerwca 1960 r. </w:t>
      </w:r>
      <w:r>
        <w:rPr>
          <w:rFonts w:ascii="Century Gothic" w:hAnsi="Century Gothic" w:cs="Calibri"/>
          <w:i/>
          <w:sz w:val="21"/>
          <w:szCs w:val="21"/>
          <w:lang w:eastAsia="pl-PL"/>
        </w:rPr>
        <w:t xml:space="preserve">kodeks postępowania administracyjnego </w:t>
      </w:r>
      <w:r>
        <w:rPr>
          <w:rFonts w:ascii="Century Gothic" w:hAnsi="Century Gothic" w:cs="Calibri"/>
          <w:sz w:val="21"/>
          <w:szCs w:val="21"/>
          <w:lang w:eastAsia="pl-PL"/>
        </w:rPr>
        <w:t xml:space="preserve">/Dz. U. z 2024 r., poz. 572/, po rozpatrzeniu wniosku </w:t>
      </w:r>
      <w:r>
        <w:rPr>
          <w:rFonts w:ascii="Century Gothic" w:hAnsi="Century Gothic"/>
          <w:b/>
          <w:bCs/>
          <w:sz w:val="21"/>
          <w:szCs w:val="21"/>
        </w:rPr>
        <w:t xml:space="preserve">Pełnomocnika Usługi Geologiczne Maja Sroczyńska, ul. Św. Wawrzyńca 15A/58, 60-539 Poznań reprezentującego Gospodarstwo Rolne Piotr </w:t>
      </w:r>
      <w:proofErr w:type="spellStart"/>
      <w:r>
        <w:rPr>
          <w:rFonts w:ascii="Century Gothic" w:hAnsi="Century Gothic"/>
          <w:b/>
          <w:bCs/>
          <w:sz w:val="21"/>
          <w:szCs w:val="21"/>
        </w:rPr>
        <w:t>Gozdecki</w:t>
      </w:r>
      <w:proofErr w:type="spellEnd"/>
      <w:r>
        <w:rPr>
          <w:rFonts w:ascii="Century Gothic" w:hAnsi="Century Gothic"/>
          <w:b/>
          <w:bCs/>
          <w:sz w:val="21"/>
          <w:szCs w:val="21"/>
        </w:rPr>
        <w:t xml:space="preserve">, </w:t>
      </w:r>
      <w:r>
        <w:rPr>
          <w:rFonts w:ascii="Century Gothic" w:hAnsi="Century Gothic" w:cs="Calibri"/>
          <w:sz w:val="21"/>
          <w:szCs w:val="21"/>
          <w:lang w:eastAsia="pl-PL"/>
        </w:rPr>
        <w:t xml:space="preserve">w sprawie wydania decyzji o środowiskowych uwarunkowaniach dla przedsięwzięcia </w:t>
      </w:r>
      <w:bookmarkStart w:id="1" w:name="_Hlk136246059"/>
      <w:r>
        <w:rPr>
          <w:rFonts w:ascii="Century Gothic" w:hAnsi="Century Gothic" w:cs="Calibri"/>
          <w:sz w:val="21"/>
          <w:szCs w:val="21"/>
        </w:rPr>
        <w:t>polegającego na</w:t>
      </w:r>
      <w:r>
        <w:rPr>
          <w:rFonts w:ascii="Century Gothic" w:hAnsi="Century Gothic"/>
          <w:b/>
          <w:bCs/>
          <w:sz w:val="21"/>
          <w:szCs w:val="21"/>
        </w:rPr>
        <w:t xml:space="preserve"> wykonaniu urządzenia umożliwiającego pobór wód podziemnych o zdolności poboru 50 m</w:t>
      </w:r>
      <w:r>
        <w:rPr>
          <w:rFonts w:ascii="Century Gothic" w:hAnsi="Century Gothic"/>
          <w:b/>
          <w:bCs/>
          <w:sz w:val="21"/>
          <w:szCs w:val="21"/>
          <w:vertAlign w:val="superscript"/>
        </w:rPr>
        <w:t>3</w:t>
      </w:r>
      <w:r>
        <w:rPr>
          <w:rFonts w:ascii="Century Gothic" w:hAnsi="Century Gothic"/>
          <w:b/>
          <w:bCs/>
          <w:sz w:val="21"/>
          <w:szCs w:val="21"/>
        </w:rPr>
        <w:t>/h oraz gospodarowanie wodą w rolnictwie pn. melioracji na terenie działki nr 1/4 w miejscowości Modliszewo, Gmina Gniezno</w:t>
      </w:r>
      <w:r>
        <w:rPr>
          <w:rFonts w:ascii="Century Gothic" w:hAnsi="Century Gothic"/>
          <w:b/>
          <w:sz w:val="21"/>
          <w:szCs w:val="21"/>
        </w:rPr>
        <w:t>,</w:t>
      </w:r>
    </w:p>
    <w:bookmarkEnd w:id="1"/>
    <w:p w14:paraId="4BF1E896" w14:textId="77777777" w:rsidR="003B31BB" w:rsidRDefault="003B31BB" w:rsidP="003B31BB">
      <w:pPr>
        <w:spacing w:after="0" w:line="276" w:lineRule="auto"/>
        <w:jc w:val="center"/>
        <w:rPr>
          <w:rFonts w:ascii="Century Gothic" w:hAnsi="Century Gothic" w:cs="Calibri"/>
          <w:b/>
          <w:sz w:val="21"/>
          <w:szCs w:val="21"/>
          <w:lang w:eastAsia="pl-PL"/>
        </w:rPr>
      </w:pPr>
      <w:r>
        <w:rPr>
          <w:rFonts w:ascii="Century Gothic" w:hAnsi="Century Gothic" w:cs="Calibri"/>
          <w:b/>
          <w:color w:val="FF0000"/>
          <w:sz w:val="21"/>
          <w:szCs w:val="21"/>
          <w:lang w:eastAsia="pl-PL"/>
        </w:rPr>
        <w:br/>
      </w:r>
      <w:r>
        <w:rPr>
          <w:rFonts w:ascii="Century Gothic" w:hAnsi="Century Gothic" w:cs="Calibri"/>
          <w:b/>
          <w:sz w:val="21"/>
          <w:szCs w:val="21"/>
          <w:lang w:eastAsia="pl-PL"/>
        </w:rPr>
        <w:t>Orzekam</w:t>
      </w:r>
    </w:p>
    <w:p w14:paraId="1A74ABD8" w14:textId="77777777" w:rsidR="003B31BB" w:rsidRDefault="003B31BB" w:rsidP="003B31BB">
      <w:pPr>
        <w:spacing w:after="0" w:line="276" w:lineRule="auto"/>
        <w:jc w:val="center"/>
        <w:rPr>
          <w:rFonts w:ascii="Century Gothic" w:hAnsi="Century Gothic" w:cs="Calibri"/>
          <w:b/>
          <w:sz w:val="21"/>
          <w:szCs w:val="21"/>
          <w:lang w:eastAsia="pl-PL"/>
        </w:rPr>
      </w:pPr>
    </w:p>
    <w:p w14:paraId="08F13FC9" w14:textId="77777777" w:rsidR="003B31BB" w:rsidRDefault="003B31BB" w:rsidP="003B31BB">
      <w:pPr>
        <w:numPr>
          <w:ilvl w:val="0"/>
          <w:numId w:val="1"/>
        </w:numPr>
        <w:spacing w:after="0" w:line="276" w:lineRule="auto"/>
        <w:jc w:val="both"/>
        <w:rPr>
          <w:rFonts w:ascii="Century Gothic" w:hAnsi="Century Gothic" w:cs="Calibri"/>
          <w:b/>
          <w:sz w:val="21"/>
          <w:szCs w:val="21"/>
          <w:lang w:eastAsia="pl-PL"/>
        </w:rPr>
      </w:pPr>
      <w:r>
        <w:rPr>
          <w:rFonts w:ascii="Century Gothic" w:hAnsi="Century Gothic" w:cs="Calibri"/>
          <w:b/>
          <w:sz w:val="21"/>
          <w:szCs w:val="21"/>
          <w:lang w:eastAsia="pl-PL"/>
        </w:rPr>
        <w:t xml:space="preserve">Stwierdzić brak potrzeby przeprowadzenia oceny oddziaływania na środowisko </w:t>
      </w:r>
      <w:r>
        <w:rPr>
          <w:rFonts w:ascii="Century Gothic" w:hAnsi="Century Gothic" w:cs="Calibri"/>
          <w:sz w:val="21"/>
          <w:szCs w:val="21"/>
          <w:lang w:eastAsia="pl-PL"/>
        </w:rPr>
        <w:t xml:space="preserve">dla przedsięwzięcia </w:t>
      </w:r>
      <w:r>
        <w:rPr>
          <w:rFonts w:ascii="Century Gothic" w:hAnsi="Century Gothic" w:cs="Calibri"/>
          <w:sz w:val="21"/>
          <w:szCs w:val="21"/>
        </w:rPr>
        <w:t xml:space="preserve">polegającego na </w:t>
      </w:r>
      <w:r>
        <w:rPr>
          <w:rFonts w:ascii="Century Gothic" w:hAnsi="Century Gothic"/>
          <w:b/>
          <w:bCs/>
          <w:sz w:val="21"/>
          <w:szCs w:val="21"/>
        </w:rPr>
        <w:t>wykonaniu urządzenia umożliwiającego pobór wód podziemnych o zdolności poboru 50 m</w:t>
      </w:r>
      <w:r>
        <w:rPr>
          <w:rFonts w:ascii="Century Gothic" w:hAnsi="Century Gothic"/>
          <w:b/>
          <w:bCs/>
          <w:sz w:val="21"/>
          <w:szCs w:val="21"/>
          <w:vertAlign w:val="superscript"/>
        </w:rPr>
        <w:t>3</w:t>
      </w:r>
      <w:r>
        <w:rPr>
          <w:rFonts w:ascii="Century Gothic" w:hAnsi="Century Gothic"/>
          <w:b/>
          <w:bCs/>
          <w:sz w:val="21"/>
          <w:szCs w:val="21"/>
        </w:rPr>
        <w:t>/h oraz gospodarowanie wodą w rolnictwie pn. melioracji na terenie działki nr 1/4 w miejscowości Modliszewo, Gmina Gniezno.</w:t>
      </w:r>
    </w:p>
    <w:p w14:paraId="2A28ABFB" w14:textId="77777777" w:rsidR="003B31BB" w:rsidRDefault="003B31BB" w:rsidP="003B31BB">
      <w:pPr>
        <w:numPr>
          <w:ilvl w:val="0"/>
          <w:numId w:val="1"/>
        </w:numPr>
        <w:spacing w:after="0" w:line="276" w:lineRule="auto"/>
        <w:jc w:val="both"/>
        <w:rPr>
          <w:rFonts w:ascii="Century Gothic" w:hAnsi="Century Gothic" w:cs="Calibri"/>
          <w:b/>
          <w:sz w:val="21"/>
          <w:szCs w:val="21"/>
          <w:lang w:eastAsia="pl-PL"/>
        </w:rPr>
      </w:pPr>
      <w:r>
        <w:rPr>
          <w:rFonts w:ascii="Century Gothic" w:hAnsi="Century Gothic" w:cs="Calibri"/>
          <w:b/>
          <w:sz w:val="21"/>
          <w:szCs w:val="21"/>
        </w:rPr>
        <w:lastRenderedPageBreak/>
        <w:t xml:space="preserve">Określić następujące </w:t>
      </w:r>
      <w:r>
        <w:rPr>
          <w:rFonts w:ascii="Century Gothic" w:hAnsi="Century Gothic" w:cs="Calibri"/>
          <w:b/>
          <w:sz w:val="21"/>
          <w:szCs w:val="21"/>
          <w:lang w:eastAsia="pl-PL"/>
        </w:rPr>
        <w:t>środowiskowe uwarunkowania realizacji opisanego wyżej przedsięwzięcia:</w:t>
      </w:r>
    </w:p>
    <w:p w14:paraId="755A8B3B" w14:textId="77777777" w:rsidR="003B31BB" w:rsidRDefault="003B31BB" w:rsidP="003B31BB">
      <w:pPr>
        <w:numPr>
          <w:ilvl w:val="0"/>
          <w:numId w:val="2"/>
        </w:numPr>
        <w:spacing w:after="0" w:line="276" w:lineRule="auto"/>
        <w:jc w:val="both"/>
        <w:rPr>
          <w:rFonts w:ascii="Century Gothic" w:hAnsi="Century Gothic" w:cs="Calibri"/>
          <w:i/>
          <w:iCs/>
          <w:sz w:val="21"/>
          <w:szCs w:val="21"/>
          <w:u w:val="single"/>
          <w:lang w:eastAsia="pl-PL"/>
        </w:rPr>
      </w:pPr>
      <w:r>
        <w:rPr>
          <w:rFonts w:ascii="Century Gothic" w:hAnsi="Century Gothic" w:cs="Calibri"/>
          <w:i/>
          <w:iCs/>
          <w:sz w:val="21"/>
          <w:szCs w:val="21"/>
          <w:u w:val="single"/>
          <w:lang w:eastAsia="pl-PL"/>
        </w:rPr>
        <w:t>Rodzaj i miejsce realizacji przedsięwzięcia</w:t>
      </w:r>
    </w:p>
    <w:p w14:paraId="2D9C487A" w14:textId="77777777" w:rsidR="003B31BB" w:rsidRDefault="003B31BB" w:rsidP="003B31BB">
      <w:pPr>
        <w:numPr>
          <w:ilvl w:val="1"/>
          <w:numId w:val="2"/>
        </w:numPr>
        <w:spacing w:after="0" w:line="276" w:lineRule="auto"/>
        <w:jc w:val="both"/>
        <w:rPr>
          <w:rFonts w:ascii="Century Gothic" w:hAnsi="Century Gothic" w:cs="Calibri"/>
          <w:bCs/>
          <w:sz w:val="21"/>
          <w:szCs w:val="21"/>
          <w:lang w:eastAsia="pl-PL"/>
        </w:rPr>
      </w:pPr>
      <w:r>
        <w:rPr>
          <w:rFonts w:ascii="Century Gothic" w:hAnsi="Century Gothic" w:cs="Calibri"/>
          <w:bCs/>
          <w:iCs/>
          <w:sz w:val="21"/>
          <w:szCs w:val="21"/>
        </w:rPr>
        <w:t>Wykonanie</w:t>
      </w:r>
      <w:r>
        <w:rPr>
          <w:rFonts w:ascii="Century Gothic" w:hAnsi="Century Gothic"/>
          <w:sz w:val="21"/>
          <w:szCs w:val="21"/>
        </w:rPr>
        <w:t xml:space="preserve"> urządzenia umożliwiającego pobór wód podziemnych o zdolności poboru 50 m³/h oraz gospodarowanie wodą w rolnictwie pn. melioracji, </w:t>
      </w:r>
      <w:r>
        <w:rPr>
          <w:rFonts w:ascii="Century Gothic" w:hAnsi="Century Gothic" w:cs="Calibri"/>
          <w:sz w:val="21"/>
          <w:szCs w:val="21"/>
          <w:lang w:eastAsia="pl-PL"/>
        </w:rPr>
        <w:t>zgodnie z charakterystyką przedsięwzięcia, która stanowi załącznik do niniejszej decyzji.</w:t>
      </w:r>
    </w:p>
    <w:p w14:paraId="5F95357A" w14:textId="77777777" w:rsidR="003B31BB" w:rsidRDefault="003B31BB" w:rsidP="003B31BB">
      <w:pPr>
        <w:numPr>
          <w:ilvl w:val="1"/>
          <w:numId w:val="2"/>
        </w:numPr>
        <w:spacing w:after="0" w:line="276" w:lineRule="auto"/>
        <w:jc w:val="both"/>
        <w:rPr>
          <w:rFonts w:ascii="Century Gothic" w:hAnsi="Century Gothic" w:cs="Calibri"/>
          <w:bCs/>
          <w:sz w:val="21"/>
          <w:szCs w:val="21"/>
          <w:lang w:eastAsia="pl-PL"/>
        </w:rPr>
      </w:pPr>
      <w:r>
        <w:rPr>
          <w:rFonts w:ascii="Century Gothic" w:hAnsi="Century Gothic" w:cs="Calibri"/>
          <w:bCs/>
          <w:sz w:val="21"/>
          <w:szCs w:val="21"/>
          <w:lang w:eastAsia="pl-PL"/>
        </w:rPr>
        <w:t xml:space="preserve">Miejsce realizacji przedsięwzięcia - przedsięwzięcie realizowane będzie </w:t>
      </w:r>
      <w:r>
        <w:rPr>
          <w:rFonts w:ascii="Century Gothic" w:hAnsi="Century Gothic" w:cs="Calibri"/>
          <w:bCs/>
          <w:sz w:val="21"/>
          <w:szCs w:val="21"/>
          <w:lang w:eastAsia="pl-PL"/>
        </w:rPr>
        <w:br/>
      </w:r>
      <w:r>
        <w:rPr>
          <w:rFonts w:ascii="Century Gothic" w:hAnsi="Century Gothic" w:cs="Calibri"/>
          <w:bCs/>
          <w:sz w:val="21"/>
          <w:szCs w:val="21"/>
        </w:rPr>
        <w:t>w miejscowości Modliszewo, Gmina Gniezno, działki nr 1/4.</w:t>
      </w:r>
    </w:p>
    <w:p w14:paraId="7A317C42" w14:textId="77777777" w:rsidR="003B31BB" w:rsidRDefault="003B31BB" w:rsidP="003B31BB">
      <w:pPr>
        <w:numPr>
          <w:ilvl w:val="0"/>
          <w:numId w:val="2"/>
        </w:numPr>
        <w:spacing w:after="0" w:line="276" w:lineRule="auto"/>
        <w:jc w:val="both"/>
        <w:rPr>
          <w:rFonts w:ascii="Century Gothic" w:hAnsi="Century Gothic" w:cs="Calibri"/>
          <w:i/>
          <w:iCs/>
          <w:sz w:val="21"/>
          <w:szCs w:val="21"/>
          <w:u w:val="single"/>
          <w:lang w:eastAsia="pl-PL"/>
        </w:rPr>
      </w:pPr>
      <w:r>
        <w:rPr>
          <w:rFonts w:ascii="Century Gothic" w:hAnsi="Century Gothic" w:cs="Calibri"/>
          <w:bCs/>
          <w:i/>
          <w:iCs/>
          <w:sz w:val="21"/>
          <w:szCs w:val="21"/>
          <w:u w:val="single"/>
          <w:lang w:eastAsia="pl-PL"/>
        </w:rPr>
        <w:t>Warunki wykorzystania terenu w fazie realizacji i eksploatacji, ze szczególnym uwzględnieniem konieczności ochrony cennych wartości przyrodniczych, zasobów naturalnych i zabytków oraz ograniczenia uciążliwości dla terenów sąsiednich.</w:t>
      </w:r>
    </w:p>
    <w:p w14:paraId="5778E23E" w14:textId="77777777" w:rsidR="003B31BB" w:rsidRDefault="003B31BB" w:rsidP="003B31BB">
      <w:pPr>
        <w:pStyle w:val="Akapitzlist"/>
        <w:numPr>
          <w:ilvl w:val="1"/>
          <w:numId w:val="2"/>
        </w:numPr>
        <w:spacing w:after="0" w:line="276" w:lineRule="auto"/>
        <w:jc w:val="both"/>
        <w:rPr>
          <w:rFonts w:ascii="Century Gothic" w:hAnsi="Century Gothic" w:cs="Calibri"/>
          <w:sz w:val="21"/>
          <w:szCs w:val="21"/>
        </w:rPr>
      </w:pPr>
      <w:r>
        <w:rPr>
          <w:rFonts w:ascii="Century Gothic" w:hAnsi="Century Gothic" w:cs="Calibri"/>
          <w:sz w:val="21"/>
          <w:szCs w:val="21"/>
        </w:rPr>
        <w:t xml:space="preserve">Ujęcie eksploatować okresowo, w sezonie wegetacyjnym roślin, w ramach ustalonych i zatwierdzonych dla niego zasobów eksploatacyjnych w ilości </w:t>
      </w:r>
      <w:proofErr w:type="spellStart"/>
      <w:r>
        <w:rPr>
          <w:rFonts w:ascii="Century Gothic" w:hAnsi="Century Gothic" w:cs="Calibri"/>
          <w:sz w:val="21"/>
          <w:szCs w:val="21"/>
        </w:rPr>
        <w:t>Q</w:t>
      </w:r>
      <w:r>
        <w:rPr>
          <w:rFonts w:ascii="Century Gothic" w:hAnsi="Century Gothic" w:cs="Calibri"/>
          <w:sz w:val="21"/>
          <w:szCs w:val="21"/>
          <w:vertAlign w:val="subscript"/>
        </w:rPr>
        <w:t>e</w:t>
      </w:r>
      <w:proofErr w:type="spellEnd"/>
      <w:r>
        <w:rPr>
          <w:rFonts w:ascii="Century Gothic" w:hAnsi="Century Gothic" w:cs="Calibri"/>
          <w:sz w:val="21"/>
          <w:szCs w:val="21"/>
        </w:rPr>
        <w:t xml:space="preserve"> = 9,0 m³/h przy depresji </w:t>
      </w:r>
      <w:proofErr w:type="spellStart"/>
      <w:r>
        <w:rPr>
          <w:rFonts w:ascii="Century Gothic" w:hAnsi="Century Gothic" w:cs="Calibri"/>
          <w:sz w:val="21"/>
          <w:szCs w:val="21"/>
          <w:vertAlign w:val="subscript"/>
        </w:rPr>
        <w:t>Sw</w:t>
      </w:r>
      <w:proofErr w:type="spellEnd"/>
      <w:r>
        <w:rPr>
          <w:rFonts w:ascii="Century Gothic" w:hAnsi="Century Gothic" w:cs="Calibri"/>
          <w:sz w:val="21"/>
          <w:szCs w:val="21"/>
        </w:rPr>
        <w:t xml:space="preserve"> = 0,44 m, nie przekraczając maksymalnego godzinowego poboru wody na poziomie </w:t>
      </w:r>
      <w:proofErr w:type="spellStart"/>
      <w:r>
        <w:rPr>
          <w:rFonts w:ascii="Century Gothic" w:hAnsi="Century Gothic" w:cs="Calibri"/>
          <w:sz w:val="21"/>
          <w:szCs w:val="21"/>
        </w:rPr>
        <w:t>Q</w:t>
      </w:r>
      <w:r>
        <w:rPr>
          <w:rFonts w:ascii="Century Gothic" w:hAnsi="Century Gothic" w:cs="Calibri"/>
          <w:sz w:val="21"/>
          <w:szCs w:val="21"/>
          <w:vertAlign w:val="subscript"/>
        </w:rPr>
        <w:t>hmax</w:t>
      </w:r>
      <w:proofErr w:type="spellEnd"/>
      <w:r>
        <w:rPr>
          <w:rFonts w:ascii="Century Gothic" w:hAnsi="Century Gothic" w:cs="Calibri"/>
          <w:sz w:val="21"/>
          <w:szCs w:val="21"/>
        </w:rPr>
        <w:t xml:space="preserve"> = 50 m³/h i </w:t>
      </w:r>
      <w:proofErr w:type="spellStart"/>
      <w:r>
        <w:rPr>
          <w:rFonts w:ascii="Century Gothic" w:hAnsi="Century Gothic" w:cs="Calibri"/>
          <w:sz w:val="21"/>
          <w:szCs w:val="21"/>
        </w:rPr>
        <w:t>Q</w:t>
      </w:r>
      <w:r>
        <w:rPr>
          <w:rFonts w:ascii="Century Gothic" w:hAnsi="Century Gothic" w:cs="Calibri"/>
          <w:sz w:val="21"/>
          <w:szCs w:val="21"/>
          <w:vertAlign w:val="subscript"/>
        </w:rPr>
        <w:t>dop</w:t>
      </w:r>
      <w:proofErr w:type="spellEnd"/>
      <w:r>
        <w:rPr>
          <w:rFonts w:ascii="Century Gothic" w:hAnsi="Century Gothic" w:cs="Calibri"/>
          <w:sz w:val="21"/>
          <w:szCs w:val="21"/>
          <w:vertAlign w:val="subscript"/>
        </w:rPr>
        <w:t>. rocz</w:t>
      </w:r>
      <w:r>
        <w:rPr>
          <w:rFonts w:ascii="Century Gothic" w:hAnsi="Century Gothic" w:cs="Calibri"/>
          <w:sz w:val="21"/>
          <w:szCs w:val="21"/>
        </w:rPr>
        <w:t xml:space="preserve">. 75 000 m³. </w:t>
      </w:r>
    </w:p>
    <w:p w14:paraId="538C3E83" w14:textId="77777777" w:rsidR="003B31BB" w:rsidRDefault="003B31BB" w:rsidP="003B31BB">
      <w:pPr>
        <w:numPr>
          <w:ilvl w:val="0"/>
          <w:numId w:val="2"/>
        </w:numPr>
        <w:spacing w:after="0" w:line="276" w:lineRule="auto"/>
        <w:ind w:left="709" w:hanging="338"/>
        <w:jc w:val="both"/>
        <w:rPr>
          <w:rFonts w:ascii="Century Gothic" w:hAnsi="Century Gothic" w:cs="Calibri"/>
          <w:bCs/>
          <w:sz w:val="21"/>
          <w:szCs w:val="21"/>
          <w:u w:val="single"/>
          <w:lang w:eastAsia="pl-PL"/>
        </w:rPr>
      </w:pPr>
      <w:r>
        <w:rPr>
          <w:rFonts w:ascii="Century Gothic" w:hAnsi="Century Gothic" w:cs="Calibri"/>
          <w:bCs/>
          <w:iCs/>
          <w:sz w:val="21"/>
          <w:szCs w:val="21"/>
          <w:u w:val="single"/>
          <w:lang w:eastAsia="pl-PL"/>
        </w:rPr>
        <w:t>Wymagania dotyczące ochrony środowiska konieczne do uwzględnienia w projekcie budowlanym:</w:t>
      </w:r>
    </w:p>
    <w:p w14:paraId="46470733" w14:textId="77777777" w:rsidR="003B31BB" w:rsidRDefault="003B31BB" w:rsidP="003B31BB">
      <w:pPr>
        <w:pStyle w:val="Akapitzlist"/>
        <w:numPr>
          <w:ilvl w:val="0"/>
          <w:numId w:val="3"/>
        </w:numPr>
        <w:spacing w:after="0" w:line="276" w:lineRule="auto"/>
        <w:rPr>
          <w:rFonts w:ascii="Century Gothic" w:hAnsi="Century Gothic" w:cs="Arial"/>
          <w:sz w:val="21"/>
          <w:szCs w:val="21"/>
        </w:rPr>
      </w:pPr>
      <w:r>
        <w:rPr>
          <w:rFonts w:ascii="Century Gothic" w:hAnsi="Century Gothic" w:cs="Arial"/>
          <w:sz w:val="21"/>
          <w:szCs w:val="21"/>
        </w:rPr>
        <w:t>Nawadnianie upraw za pomocą deszczowni szpulowej wodą pobraną z planowanej studni prowadzić na obszarze o powierzchni do 25 ha.</w:t>
      </w:r>
    </w:p>
    <w:p w14:paraId="2DEC00AD" w14:textId="77777777" w:rsidR="003B31BB" w:rsidRDefault="003B31BB" w:rsidP="003B31BB">
      <w:pPr>
        <w:pStyle w:val="Akapitzlist"/>
        <w:numPr>
          <w:ilvl w:val="0"/>
          <w:numId w:val="3"/>
        </w:numPr>
        <w:spacing w:after="0" w:line="240" w:lineRule="auto"/>
        <w:rPr>
          <w:rFonts w:ascii="Century Gothic" w:hAnsi="Century Gothic" w:cs="Arial"/>
          <w:sz w:val="21"/>
          <w:szCs w:val="21"/>
          <w:lang w:eastAsia="pl-PL"/>
        </w:rPr>
      </w:pPr>
      <w:r>
        <w:rPr>
          <w:rFonts w:ascii="Century Gothic" w:hAnsi="Century Gothic" w:cs="Arial"/>
          <w:sz w:val="21"/>
          <w:szCs w:val="21"/>
          <w:lang w:eastAsia="pl-PL"/>
        </w:rPr>
        <w:t>Nie prowadzić nawadniania upraw w okresie południa, przy intensywnym nasłonecznieniu.</w:t>
      </w:r>
    </w:p>
    <w:p w14:paraId="51E2BBD2" w14:textId="77777777" w:rsidR="003B31BB" w:rsidRDefault="003B31BB" w:rsidP="003B31BB">
      <w:pPr>
        <w:spacing w:after="0" w:line="276" w:lineRule="auto"/>
        <w:jc w:val="both"/>
        <w:rPr>
          <w:rFonts w:ascii="Century Gothic" w:hAnsi="Century Gothic" w:cs="Arial"/>
          <w:sz w:val="21"/>
          <w:szCs w:val="21"/>
        </w:rPr>
      </w:pPr>
    </w:p>
    <w:p w14:paraId="024C525E" w14:textId="77777777" w:rsidR="003B31BB" w:rsidRDefault="003B31BB" w:rsidP="003B31BB">
      <w:pPr>
        <w:numPr>
          <w:ilvl w:val="0"/>
          <w:numId w:val="1"/>
        </w:numPr>
        <w:spacing w:after="0" w:line="276" w:lineRule="auto"/>
        <w:jc w:val="both"/>
        <w:rPr>
          <w:rFonts w:ascii="Century Gothic" w:hAnsi="Century Gothic" w:cs="Calibri"/>
          <w:bCs/>
          <w:iCs/>
          <w:sz w:val="21"/>
          <w:szCs w:val="21"/>
          <w:lang w:eastAsia="pl-PL"/>
        </w:rPr>
      </w:pPr>
      <w:r>
        <w:rPr>
          <w:rFonts w:ascii="Century Gothic" w:hAnsi="Century Gothic" w:cs="Calibri"/>
          <w:b/>
          <w:bCs/>
          <w:iCs/>
          <w:sz w:val="21"/>
          <w:szCs w:val="21"/>
          <w:lang w:eastAsia="pl-PL"/>
        </w:rPr>
        <w:t xml:space="preserve">Ustalić </w:t>
      </w:r>
      <w:r>
        <w:rPr>
          <w:rFonts w:ascii="Century Gothic" w:hAnsi="Century Gothic" w:cs="Calibri"/>
          <w:bCs/>
          <w:iCs/>
          <w:sz w:val="21"/>
          <w:szCs w:val="21"/>
          <w:lang w:eastAsia="pl-PL"/>
        </w:rPr>
        <w:t>charakterystykę planowanego przedsięwzięcia zawartą w załączniku do niniejszej decyzji jako jej integralną część.</w:t>
      </w:r>
    </w:p>
    <w:p w14:paraId="450082EA" w14:textId="77777777" w:rsidR="003B31BB" w:rsidRDefault="003B31BB" w:rsidP="003B31BB">
      <w:pPr>
        <w:keepNext/>
        <w:spacing w:after="120" w:line="276" w:lineRule="auto"/>
        <w:jc w:val="center"/>
        <w:outlineLvl w:val="1"/>
        <w:rPr>
          <w:rFonts w:ascii="Century Gothic" w:hAnsi="Century Gothic" w:cs="Calibri"/>
          <w:b/>
          <w:bCs/>
          <w:color w:val="FF0000"/>
          <w:sz w:val="21"/>
          <w:szCs w:val="21"/>
          <w:lang w:eastAsia="pl-PL"/>
        </w:rPr>
      </w:pPr>
    </w:p>
    <w:p w14:paraId="3FAB2FA4" w14:textId="77777777" w:rsidR="003B31BB" w:rsidRDefault="003B31BB" w:rsidP="003B31BB">
      <w:pPr>
        <w:keepNext/>
        <w:spacing w:after="120" w:line="276" w:lineRule="auto"/>
        <w:jc w:val="center"/>
        <w:outlineLvl w:val="1"/>
        <w:rPr>
          <w:rFonts w:ascii="Century Gothic" w:hAnsi="Century Gothic"/>
          <w:b/>
          <w:bCs/>
          <w:sz w:val="21"/>
          <w:szCs w:val="21"/>
          <w:lang w:eastAsia="pl-PL"/>
        </w:rPr>
      </w:pPr>
      <w:r>
        <w:rPr>
          <w:rFonts w:ascii="Century Gothic" w:hAnsi="Century Gothic"/>
          <w:b/>
          <w:bCs/>
          <w:sz w:val="21"/>
          <w:szCs w:val="21"/>
          <w:lang w:eastAsia="pl-PL"/>
        </w:rPr>
        <w:t>Uzasadnienie</w:t>
      </w:r>
    </w:p>
    <w:p w14:paraId="254F6EE3" w14:textId="77777777" w:rsidR="003B31BB" w:rsidRDefault="003B31BB" w:rsidP="003B31BB">
      <w:pPr>
        <w:spacing w:after="0" w:line="276" w:lineRule="auto"/>
        <w:jc w:val="both"/>
        <w:rPr>
          <w:rFonts w:ascii="Century Gothic" w:hAnsi="Century Gothic" w:cs="Calibri"/>
          <w:sz w:val="21"/>
          <w:szCs w:val="21"/>
          <w:lang w:eastAsia="pl-PL"/>
        </w:rPr>
      </w:pPr>
      <w:r>
        <w:rPr>
          <w:rFonts w:ascii="Century Gothic" w:hAnsi="Century Gothic" w:cs="Calibri"/>
          <w:sz w:val="21"/>
          <w:szCs w:val="21"/>
        </w:rPr>
        <w:t xml:space="preserve">1.  </w:t>
      </w:r>
      <w:r>
        <w:rPr>
          <w:rFonts w:ascii="Century Gothic" w:hAnsi="Century Gothic" w:cs="Calibri"/>
          <w:sz w:val="21"/>
          <w:szCs w:val="21"/>
          <w:lang w:eastAsia="pl-PL"/>
        </w:rPr>
        <w:t xml:space="preserve">Wnioskiem z dnia  20 grudnia 2024 r. ( data wpływu 31.12.2024 r.) </w:t>
      </w:r>
      <w:r>
        <w:rPr>
          <w:rFonts w:ascii="Century Gothic" w:hAnsi="Century Gothic"/>
          <w:sz w:val="21"/>
          <w:szCs w:val="21"/>
        </w:rPr>
        <w:t xml:space="preserve">Pełnomocnik Usługi Geologiczne Maja Sroczyńska, ul. Św. Wawrzyńca 15A/58, 60-539 Poznań reprezentujący Gospodarstwo Rolne Piotr </w:t>
      </w:r>
      <w:proofErr w:type="spellStart"/>
      <w:r>
        <w:rPr>
          <w:rFonts w:ascii="Century Gothic" w:hAnsi="Century Gothic"/>
          <w:sz w:val="21"/>
          <w:szCs w:val="21"/>
        </w:rPr>
        <w:t>Gozdecki</w:t>
      </w:r>
      <w:proofErr w:type="spellEnd"/>
      <w:r>
        <w:rPr>
          <w:rFonts w:ascii="Century Gothic" w:hAnsi="Century Gothic"/>
          <w:sz w:val="21"/>
          <w:szCs w:val="21"/>
        </w:rPr>
        <w:t xml:space="preserve">, </w:t>
      </w:r>
      <w:r>
        <w:rPr>
          <w:rFonts w:ascii="Century Gothic" w:hAnsi="Century Gothic" w:cs="Calibri"/>
          <w:sz w:val="21"/>
          <w:szCs w:val="21"/>
          <w:lang w:eastAsia="pl-PL"/>
        </w:rPr>
        <w:t xml:space="preserve">zwrócił się do Wójta Gminy Gniezno o wydanie decyzji o środowiskowych uwarunkowaniach dla przedsięwzięcia polegającego </w:t>
      </w:r>
      <w:r>
        <w:rPr>
          <w:rFonts w:ascii="Century Gothic" w:hAnsi="Century Gothic" w:cs="Calibri"/>
          <w:sz w:val="21"/>
          <w:szCs w:val="21"/>
        </w:rPr>
        <w:t>na</w:t>
      </w:r>
      <w:r>
        <w:rPr>
          <w:rFonts w:ascii="Century Gothic" w:hAnsi="Century Gothic"/>
          <w:sz w:val="21"/>
          <w:szCs w:val="21"/>
        </w:rPr>
        <w:t xml:space="preserve"> wykonaniu urządzenia umożliwiającego pobór wód podziemnych o zdolności poboru 50 m</w:t>
      </w:r>
      <w:r>
        <w:rPr>
          <w:rFonts w:ascii="Century Gothic" w:hAnsi="Century Gothic"/>
          <w:sz w:val="21"/>
          <w:szCs w:val="21"/>
          <w:vertAlign w:val="superscript"/>
        </w:rPr>
        <w:t>3</w:t>
      </w:r>
      <w:r>
        <w:rPr>
          <w:rFonts w:ascii="Century Gothic" w:hAnsi="Century Gothic"/>
          <w:sz w:val="21"/>
          <w:szCs w:val="21"/>
        </w:rPr>
        <w:t>/h oraz gospodarowanie wodą w rolnictwie pn. melioracji na terenie działki nr 1/4 w miejscowości Modliszewo, Gmina Gniezno,</w:t>
      </w:r>
      <w:r>
        <w:rPr>
          <w:rFonts w:ascii="Century Gothic" w:hAnsi="Century Gothic"/>
          <w:b/>
          <w:sz w:val="21"/>
          <w:szCs w:val="21"/>
        </w:rPr>
        <w:t xml:space="preserve"> </w:t>
      </w:r>
      <w:r>
        <w:rPr>
          <w:rFonts w:ascii="Century Gothic" w:hAnsi="Century Gothic" w:cs="Calibri"/>
          <w:bCs/>
          <w:sz w:val="21"/>
          <w:szCs w:val="21"/>
          <w:lang w:eastAsia="pl-PL"/>
        </w:rPr>
        <w:t xml:space="preserve">dołączając </w:t>
      </w:r>
      <w:r>
        <w:rPr>
          <w:rFonts w:ascii="Century Gothic" w:hAnsi="Century Gothic" w:cs="Calibri"/>
          <w:sz w:val="21"/>
          <w:szCs w:val="21"/>
          <w:lang w:eastAsia="pl-PL"/>
        </w:rPr>
        <w:t>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(również w wersji elektronicznej) oraz potwierdzenie wniesienia opłaty skarbowej za udzielenie pełnomocnictwa.</w:t>
      </w:r>
    </w:p>
    <w:p w14:paraId="735DB8CD" w14:textId="77777777" w:rsidR="003B31BB" w:rsidRDefault="003B31BB" w:rsidP="003B31BB">
      <w:pPr>
        <w:widowControl w:val="0"/>
        <w:spacing w:after="0" w:line="276" w:lineRule="auto"/>
        <w:ind w:right="74"/>
        <w:contextualSpacing/>
        <w:jc w:val="both"/>
        <w:rPr>
          <w:rFonts w:ascii="Century Gothic" w:hAnsi="Century Gothic"/>
          <w:sz w:val="21"/>
          <w:szCs w:val="21"/>
          <w:lang w:eastAsia="pl-PL"/>
        </w:rPr>
      </w:pPr>
      <w:r>
        <w:rPr>
          <w:rFonts w:ascii="Century Gothic" w:hAnsi="Century Gothic"/>
          <w:bCs/>
          <w:sz w:val="21"/>
          <w:szCs w:val="21"/>
        </w:rPr>
        <w:t xml:space="preserve">2. </w:t>
      </w:r>
      <w:r>
        <w:rPr>
          <w:rFonts w:ascii="Century Gothic" w:hAnsi="Century Gothic"/>
          <w:sz w:val="21"/>
          <w:szCs w:val="21"/>
          <w:lang w:eastAsia="pl-PL"/>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hAnsi="Century Gothic"/>
          <w:sz w:val="21"/>
          <w:szCs w:val="21"/>
          <w:lang w:eastAsia="pl-PL"/>
        </w:rPr>
        <w:t>ooś</w:t>
      </w:r>
      <w:proofErr w:type="spellEnd"/>
      <w:r>
        <w:rPr>
          <w:rFonts w:ascii="Century Gothic" w:hAnsi="Century Gothic"/>
          <w:sz w:val="21"/>
          <w:szCs w:val="21"/>
          <w:lang w:eastAsia="pl-PL"/>
        </w:rPr>
        <w:t xml:space="preserve">, stwierdzono, że organem właściwym do wydania decyzji o środowiskowych uwarunkowaniach jest Wójt Gminy Gniezno. </w:t>
      </w:r>
    </w:p>
    <w:p w14:paraId="6D879578" w14:textId="77777777" w:rsidR="003B31BB" w:rsidRDefault="003B31BB" w:rsidP="003B31BB">
      <w:pPr>
        <w:spacing w:after="0" w:line="276" w:lineRule="auto"/>
        <w:jc w:val="both"/>
        <w:rPr>
          <w:rFonts w:ascii="Century Gothic" w:hAnsi="Century Gothic" w:cs="Calibri"/>
          <w:bCs/>
          <w:sz w:val="21"/>
          <w:szCs w:val="21"/>
          <w:lang w:eastAsia="pl-PL"/>
        </w:rPr>
      </w:pPr>
      <w:r>
        <w:rPr>
          <w:rFonts w:ascii="Century Gothic" w:hAnsi="Century Gothic" w:cs="Calibri"/>
          <w:sz w:val="21"/>
          <w:szCs w:val="21"/>
          <w:lang w:eastAsia="pl-PL"/>
        </w:rPr>
        <w:t xml:space="preserve">3. Planowane przedsięwzięcie należy do przedsięwzięć mogących potencjalnie znacząco oddziaływać na środowisko – wymienione jest </w:t>
      </w:r>
      <w:r>
        <w:rPr>
          <w:rFonts w:ascii="Century Gothic" w:hAnsi="Century Gothic"/>
          <w:sz w:val="21"/>
          <w:szCs w:val="21"/>
        </w:rPr>
        <w:t xml:space="preserve">w </w:t>
      </w:r>
      <w:r>
        <w:rPr>
          <w:rFonts w:ascii="Century Gothic" w:hAnsi="Century Gothic"/>
          <w:bCs/>
          <w:sz w:val="20"/>
          <w:szCs w:val="20"/>
        </w:rPr>
        <w:t>§ 3 ust. 1 pkt 73 i pkt. 89 lit d</w:t>
      </w:r>
      <w:r>
        <w:rPr>
          <w:rFonts w:ascii="Century Gothic" w:hAnsi="Century Gothic"/>
          <w:sz w:val="21"/>
          <w:szCs w:val="21"/>
        </w:rPr>
        <w:t xml:space="preserve"> </w:t>
      </w:r>
      <w:r>
        <w:rPr>
          <w:rFonts w:ascii="Century Gothic" w:hAnsi="Century Gothic"/>
          <w:bCs/>
          <w:sz w:val="21"/>
          <w:szCs w:val="21"/>
        </w:rPr>
        <w:t xml:space="preserve">Rozporządzenia </w:t>
      </w:r>
      <w:r>
        <w:rPr>
          <w:rFonts w:ascii="Century Gothic" w:hAnsi="Century Gothic" w:cs="Calibri"/>
          <w:bCs/>
          <w:sz w:val="21"/>
          <w:szCs w:val="21"/>
          <w:lang w:eastAsia="pl-PL"/>
        </w:rPr>
        <w:t xml:space="preserve">Rady Ministrów z dnia 10 września 2019 r. w sprawie przedsięwzięć mogących znacząco </w:t>
      </w:r>
      <w:r>
        <w:rPr>
          <w:rFonts w:ascii="Century Gothic" w:hAnsi="Century Gothic" w:cs="Calibri"/>
          <w:bCs/>
          <w:sz w:val="21"/>
          <w:szCs w:val="21"/>
          <w:lang w:eastAsia="pl-PL"/>
        </w:rPr>
        <w:lastRenderedPageBreak/>
        <w:t>oddziaływać na środowisko /Dz. U. z 2019 r. poz. 1839/.</w:t>
      </w:r>
      <w:r>
        <w:rPr>
          <w:rFonts w:ascii="Century Gothic" w:hAnsi="Century Gothic" w:cs="Calibri"/>
          <w:sz w:val="21"/>
          <w:szCs w:val="21"/>
          <w:lang w:eastAsia="pl-PL"/>
        </w:rPr>
        <w:t xml:space="preserve"> Wobec</w:t>
      </w:r>
      <w:r>
        <w:rPr>
          <w:rFonts w:ascii="Century Gothic" w:hAnsi="Century Gothic" w:cs="Calibri"/>
          <w:spacing w:val="24"/>
          <w:sz w:val="21"/>
          <w:szCs w:val="21"/>
          <w:lang w:eastAsia="pl-PL"/>
        </w:rPr>
        <w:t xml:space="preserve"> </w:t>
      </w:r>
      <w:r>
        <w:rPr>
          <w:rFonts w:ascii="Century Gothic" w:hAnsi="Century Gothic" w:cs="Calibri"/>
          <w:sz w:val="21"/>
          <w:szCs w:val="21"/>
          <w:lang w:eastAsia="pl-PL"/>
        </w:rPr>
        <w:t>powyż</w:t>
      </w:r>
      <w:r>
        <w:rPr>
          <w:rFonts w:ascii="Century Gothic" w:hAnsi="Century Gothic" w:cs="Calibri"/>
          <w:spacing w:val="-17"/>
          <w:sz w:val="21"/>
          <w:szCs w:val="21"/>
          <w:lang w:eastAsia="pl-PL"/>
        </w:rPr>
        <w:t>s</w:t>
      </w:r>
      <w:r>
        <w:rPr>
          <w:rFonts w:ascii="Century Gothic" w:hAnsi="Century Gothic" w:cs="Calibri"/>
          <w:sz w:val="21"/>
          <w:szCs w:val="21"/>
          <w:lang w:eastAsia="pl-PL"/>
        </w:rPr>
        <w:t>zego</w:t>
      </w:r>
      <w:r>
        <w:rPr>
          <w:rFonts w:ascii="Century Gothic" w:hAnsi="Century Gothic" w:cs="Calibri"/>
          <w:spacing w:val="46"/>
          <w:sz w:val="21"/>
          <w:szCs w:val="21"/>
          <w:lang w:eastAsia="pl-PL"/>
        </w:rPr>
        <w:t xml:space="preserve"> </w:t>
      </w:r>
      <w:r>
        <w:rPr>
          <w:rFonts w:ascii="Century Gothic" w:hAnsi="Century Gothic" w:cs="Calibri"/>
          <w:sz w:val="21"/>
          <w:szCs w:val="21"/>
          <w:lang w:eastAsia="pl-PL"/>
        </w:rPr>
        <w:t>przedmiotowe</w:t>
      </w:r>
      <w:r>
        <w:rPr>
          <w:rFonts w:ascii="Century Gothic" w:hAnsi="Century Gothic" w:cs="Calibri"/>
          <w:spacing w:val="37"/>
          <w:sz w:val="21"/>
          <w:szCs w:val="21"/>
          <w:lang w:eastAsia="pl-PL"/>
        </w:rPr>
        <w:t xml:space="preserve"> </w:t>
      </w:r>
      <w:r>
        <w:rPr>
          <w:rFonts w:ascii="Century Gothic" w:hAnsi="Century Gothic" w:cs="Calibri"/>
          <w:sz w:val="21"/>
          <w:szCs w:val="21"/>
          <w:lang w:eastAsia="pl-PL"/>
        </w:rPr>
        <w:t>przedsięwzięcie</w:t>
      </w:r>
      <w:r>
        <w:rPr>
          <w:rFonts w:ascii="Century Gothic" w:hAnsi="Century Gothic" w:cs="Calibri"/>
          <w:spacing w:val="16"/>
          <w:sz w:val="21"/>
          <w:szCs w:val="21"/>
          <w:lang w:eastAsia="pl-PL"/>
        </w:rPr>
        <w:t xml:space="preserve"> </w:t>
      </w:r>
      <w:r>
        <w:rPr>
          <w:rFonts w:ascii="Century Gothic" w:hAnsi="Century Gothic" w:cs="Calibri"/>
          <w:sz w:val="21"/>
          <w:szCs w:val="21"/>
          <w:lang w:eastAsia="pl-PL"/>
        </w:rPr>
        <w:t>zalicza</w:t>
      </w:r>
      <w:r>
        <w:rPr>
          <w:rFonts w:ascii="Century Gothic" w:hAnsi="Century Gothic" w:cs="Calibri"/>
          <w:spacing w:val="13"/>
          <w:sz w:val="21"/>
          <w:szCs w:val="21"/>
          <w:lang w:eastAsia="pl-PL"/>
        </w:rPr>
        <w:t xml:space="preserve"> </w:t>
      </w:r>
      <w:r>
        <w:rPr>
          <w:rFonts w:ascii="Century Gothic" w:hAnsi="Century Gothic" w:cs="Calibri"/>
          <w:sz w:val="21"/>
          <w:szCs w:val="21"/>
          <w:lang w:eastAsia="pl-PL"/>
        </w:rPr>
        <w:t>się do</w:t>
      </w:r>
      <w:r>
        <w:rPr>
          <w:rFonts w:ascii="Century Gothic" w:hAnsi="Century Gothic" w:cs="Calibri"/>
          <w:spacing w:val="15"/>
          <w:sz w:val="21"/>
          <w:szCs w:val="21"/>
          <w:lang w:eastAsia="pl-PL"/>
        </w:rPr>
        <w:t xml:space="preserve"> </w:t>
      </w:r>
      <w:r>
        <w:rPr>
          <w:rFonts w:ascii="Century Gothic" w:hAnsi="Century Gothic" w:cs="Calibri"/>
          <w:sz w:val="21"/>
          <w:szCs w:val="21"/>
          <w:lang w:eastAsia="pl-PL"/>
        </w:rPr>
        <w:t>przedsięwzięć</w:t>
      </w:r>
      <w:r>
        <w:rPr>
          <w:rFonts w:ascii="Century Gothic" w:hAnsi="Century Gothic" w:cs="Calibri"/>
          <w:spacing w:val="17"/>
          <w:sz w:val="21"/>
          <w:szCs w:val="21"/>
          <w:lang w:eastAsia="pl-PL"/>
        </w:rPr>
        <w:t xml:space="preserve"> </w:t>
      </w:r>
      <w:r>
        <w:rPr>
          <w:rFonts w:ascii="Century Gothic" w:hAnsi="Century Gothic" w:cs="Calibri"/>
          <w:sz w:val="21"/>
          <w:szCs w:val="21"/>
          <w:lang w:eastAsia="pl-PL"/>
        </w:rPr>
        <w:t xml:space="preserve">mogących potencjalnie </w:t>
      </w:r>
      <w:r>
        <w:rPr>
          <w:rFonts w:ascii="Century Gothic" w:hAnsi="Century Gothic" w:cs="Calibri"/>
          <w:spacing w:val="7"/>
          <w:sz w:val="21"/>
          <w:szCs w:val="21"/>
          <w:lang w:eastAsia="pl-PL"/>
        </w:rPr>
        <w:t xml:space="preserve"> </w:t>
      </w:r>
      <w:r>
        <w:rPr>
          <w:rFonts w:ascii="Century Gothic" w:hAnsi="Century Gothic" w:cs="Calibri"/>
          <w:sz w:val="21"/>
          <w:szCs w:val="21"/>
          <w:lang w:eastAsia="pl-PL"/>
        </w:rPr>
        <w:t>znacząco</w:t>
      </w:r>
      <w:r>
        <w:rPr>
          <w:rFonts w:ascii="Century Gothic" w:hAnsi="Century Gothic" w:cs="Calibri"/>
          <w:spacing w:val="-18"/>
          <w:sz w:val="21"/>
          <w:szCs w:val="21"/>
          <w:lang w:eastAsia="pl-PL"/>
        </w:rPr>
        <w:t xml:space="preserve"> </w:t>
      </w:r>
      <w:r>
        <w:rPr>
          <w:rFonts w:ascii="Century Gothic" w:hAnsi="Century Gothic" w:cs="Calibri"/>
          <w:sz w:val="21"/>
          <w:szCs w:val="21"/>
          <w:lang w:eastAsia="pl-PL"/>
        </w:rPr>
        <w:t>oddziaływać</w:t>
      </w:r>
      <w:r>
        <w:rPr>
          <w:rFonts w:ascii="Century Gothic" w:hAnsi="Century Gothic" w:cs="Calibri"/>
          <w:spacing w:val="6"/>
          <w:sz w:val="21"/>
          <w:szCs w:val="21"/>
          <w:lang w:eastAsia="pl-PL"/>
        </w:rPr>
        <w:t xml:space="preserve"> </w:t>
      </w:r>
      <w:r>
        <w:rPr>
          <w:rFonts w:ascii="Century Gothic" w:hAnsi="Century Gothic" w:cs="Calibri"/>
          <w:sz w:val="21"/>
          <w:szCs w:val="21"/>
          <w:lang w:eastAsia="pl-PL"/>
        </w:rPr>
        <w:t>na</w:t>
      </w:r>
      <w:r>
        <w:rPr>
          <w:rFonts w:ascii="Century Gothic" w:hAnsi="Century Gothic" w:cs="Calibri"/>
          <w:spacing w:val="27"/>
          <w:sz w:val="21"/>
          <w:szCs w:val="21"/>
          <w:lang w:eastAsia="pl-PL"/>
        </w:rPr>
        <w:t xml:space="preserve"> </w:t>
      </w:r>
      <w:r>
        <w:rPr>
          <w:rFonts w:ascii="Century Gothic" w:hAnsi="Century Gothic" w:cs="Calibri"/>
          <w:sz w:val="21"/>
          <w:szCs w:val="21"/>
          <w:lang w:eastAsia="pl-PL"/>
        </w:rPr>
        <w:t>środowisko,</w:t>
      </w:r>
      <w:r>
        <w:rPr>
          <w:rFonts w:ascii="Century Gothic" w:hAnsi="Century Gothic" w:cs="Calibri"/>
          <w:spacing w:val="5"/>
          <w:sz w:val="21"/>
          <w:szCs w:val="21"/>
          <w:lang w:eastAsia="pl-PL"/>
        </w:rPr>
        <w:t xml:space="preserve"> </w:t>
      </w:r>
      <w:r>
        <w:rPr>
          <w:rFonts w:ascii="Century Gothic" w:hAnsi="Century Gothic" w:cs="Calibri"/>
          <w:sz w:val="21"/>
          <w:szCs w:val="21"/>
          <w:lang w:eastAsia="pl-PL"/>
        </w:rPr>
        <w:t>dla</w:t>
      </w:r>
      <w:r>
        <w:rPr>
          <w:rFonts w:ascii="Century Gothic" w:hAnsi="Century Gothic" w:cs="Calibri"/>
          <w:spacing w:val="42"/>
          <w:sz w:val="21"/>
          <w:szCs w:val="21"/>
          <w:lang w:eastAsia="pl-PL"/>
        </w:rPr>
        <w:t xml:space="preserve"> </w:t>
      </w:r>
      <w:r>
        <w:rPr>
          <w:rFonts w:ascii="Century Gothic" w:hAnsi="Century Gothic" w:cs="Calibri"/>
          <w:sz w:val="21"/>
          <w:szCs w:val="21"/>
          <w:lang w:eastAsia="pl-PL"/>
        </w:rPr>
        <w:t>których</w:t>
      </w:r>
      <w:r>
        <w:rPr>
          <w:rFonts w:ascii="Century Gothic" w:hAnsi="Century Gothic" w:cs="Calibri"/>
          <w:spacing w:val="48"/>
          <w:sz w:val="21"/>
          <w:szCs w:val="21"/>
          <w:lang w:eastAsia="pl-PL"/>
        </w:rPr>
        <w:t xml:space="preserve"> </w:t>
      </w:r>
      <w:r>
        <w:rPr>
          <w:rFonts w:ascii="Century Gothic" w:hAnsi="Century Gothic" w:cs="Calibri"/>
          <w:sz w:val="21"/>
          <w:szCs w:val="21"/>
          <w:lang w:eastAsia="pl-PL"/>
        </w:rPr>
        <w:t>obowiązek</w:t>
      </w:r>
      <w:r>
        <w:rPr>
          <w:rFonts w:ascii="Century Gothic" w:hAnsi="Century Gothic" w:cs="Calibri"/>
          <w:spacing w:val="-4"/>
          <w:sz w:val="21"/>
          <w:szCs w:val="21"/>
          <w:lang w:eastAsia="pl-PL"/>
        </w:rPr>
        <w:t xml:space="preserve"> </w:t>
      </w:r>
      <w:r>
        <w:rPr>
          <w:rFonts w:ascii="Century Gothic" w:hAnsi="Century Gothic" w:cs="Calibri"/>
          <w:w w:val="102"/>
          <w:sz w:val="21"/>
          <w:szCs w:val="21"/>
          <w:lang w:eastAsia="pl-PL"/>
        </w:rPr>
        <w:t>przeprowa</w:t>
      </w:r>
      <w:r>
        <w:rPr>
          <w:rFonts w:ascii="Century Gothic" w:hAnsi="Century Gothic" w:cs="Calibri"/>
          <w:spacing w:val="11"/>
          <w:w w:val="103"/>
          <w:sz w:val="21"/>
          <w:szCs w:val="21"/>
          <w:lang w:eastAsia="pl-PL"/>
        </w:rPr>
        <w:t>d</w:t>
      </w:r>
      <w:r>
        <w:rPr>
          <w:rFonts w:ascii="Century Gothic" w:hAnsi="Century Gothic" w:cs="Calibri"/>
          <w:w w:val="107"/>
          <w:sz w:val="21"/>
          <w:szCs w:val="21"/>
          <w:lang w:eastAsia="pl-PL"/>
        </w:rPr>
        <w:t>z</w:t>
      </w:r>
      <w:r>
        <w:rPr>
          <w:rFonts w:ascii="Century Gothic" w:hAnsi="Century Gothic" w:cs="Calibri"/>
          <w:spacing w:val="-3"/>
          <w:w w:val="107"/>
          <w:sz w:val="21"/>
          <w:szCs w:val="21"/>
          <w:lang w:eastAsia="pl-PL"/>
        </w:rPr>
        <w:t>e</w:t>
      </w:r>
      <w:r>
        <w:rPr>
          <w:rFonts w:ascii="Century Gothic" w:hAnsi="Century Gothic" w:cs="Calibri"/>
          <w:w w:val="99"/>
          <w:sz w:val="21"/>
          <w:szCs w:val="21"/>
          <w:lang w:eastAsia="pl-PL"/>
        </w:rPr>
        <w:t xml:space="preserve">nia </w:t>
      </w:r>
      <w:r>
        <w:rPr>
          <w:rFonts w:ascii="Century Gothic" w:hAnsi="Century Gothic" w:cs="Calibri"/>
          <w:sz w:val="21"/>
          <w:szCs w:val="21"/>
          <w:lang w:eastAsia="pl-PL"/>
        </w:rPr>
        <w:t>oceny</w:t>
      </w:r>
      <w:r>
        <w:rPr>
          <w:rFonts w:ascii="Century Gothic" w:hAnsi="Century Gothic" w:cs="Calibri"/>
          <w:spacing w:val="22"/>
          <w:sz w:val="21"/>
          <w:szCs w:val="21"/>
          <w:lang w:eastAsia="pl-PL"/>
        </w:rPr>
        <w:t xml:space="preserve"> </w:t>
      </w:r>
      <w:r>
        <w:rPr>
          <w:rFonts w:ascii="Century Gothic" w:hAnsi="Century Gothic" w:cs="Calibri"/>
          <w:sz w:val="21"/>
          <w:szCs w:val="21"/>
          <w:lang w:eastAsia="pl-PL"/>
        </w:rPr>
        <w:t>oddziaływania</w:t>
      </w:r>
      <w:r>
        <w:rPr>
          <w:rFonts w:ascii="Century Gothic" w:hAnsi="Century Gothic" w:cs="Calibri"/>
          <w:spacing w:val="45"/>
          <w:sz w:val="21"/>
          <w:szCs w:val="21"/>
          <w:lang w:eastAsia="pl-PL"/>
        </w:rPr>
        <w:t xml:space="preserve"> </w:t>
      </w:r>
      <w:r>
        <w:rPr>
          <w:rFonts w:ascii="Century Gothic" w:hAnsi="Century Gothic" w:cs="Calibri"/>
          <w:sz w:val="21"/>
          <w:szCs w:val="21"/>
          <w:lang w:eastAsia="pl-PL"/>
        </w:rPr>
        <w:t>na środowisko</w:t>
      </w:r>
      <w:r>
        <w:rPr>
          <w:rFonts w:ascii="Century Gothic" w:hAnsi="Century Gothic" w:cs="Calibri"/>
          <w:spacing w:val="40"/>
          <w:sz w:val="21"/>
          <w:szCs w:val="21"/>
          <w:lang w:eastAsia="pl-PL"/>
        </w:rPr>
        <w:t xml:space="preserve"> </w:t>
      </w:r>
      <w:r>
        <w:rPr>
          <w:rFonts w:ascii="Century Gothic" w:hAnsi="Century Gothic" w:cs="Calibri"/>
          <w:sz w:val="21"/>
          <w:szCs w:val="21"/>
          <w:lang w:eastAsia="pl-PL"/>
        </w:rPr>
        <w:t>może</w:t>
      </w:r>
      <w:r>
        <w:rPr>
          <w:rFonts w:ascii="Century Gothic" w:hAnsi="Century Gothic" w:cs="Calibri"/>
          <w:spacing w:val="26"/>
          <w:sz w:val="21"/>
          <w:szCs w:val="21"/>
          <w:lang w:eastAsia="pl-PL"/>
        </w:rPr>
        <w:t xml:space="preserve"> </w:t>
      </w:r>
      <w:r>
        <w:rPr>
          <w:rFonts w:ascii="Century Gothic" w:hAnsi="Century Gothic" w:cs="Calibri"/>
          <w:sz w:val="21"/>
          <w:szCs w:val="21"/>
          <w:lang w:eastAsia="pl-PL"/>
        </w:rPr>
        <w:t>być</w:t>
      </w:r>
      <w:r>
        <w:rPr>
          <w:rFonts w:ascii="Century Gothic" w:hAnsi="Century Gothic" w:cs="Calibri"/>
          <w:spacing w:val="-4"/>
          <w:sz w:val="21"/>
          <w:szCs w:val="21"/>
          <w:lang w:eastAsia="pl-PL"/>
        </w:rPr>
        <w:t xml:space="preserve"> </w:t>
      </w:r>
      <w:r>
        <w:rPr>
          <w:rFonts w:ascii="Century Gothic" w:hAnsi="Century Gothic" w:cs="Calibri"/>
          <w:w w:val="103"/>
          <w:sz w:val="21"/>
          <w:szCs w:val="21"/>
          <w:lang w:eastAsia="pl-PL"/>
        </w:rPr>
        <w:t>stwierdzony.</w:t>
      </w:r>
    </w:p>
    <w:p w14:paraId="057E0652" w14:textId="77777777" w:rsidR="003B31BB" w:rsidRDefault="003B31BB" w:rsidP="003B31BB">
      <w:pPr>
        <w:pStyle w:val="Tekstpodstawowy3"/>
        <w:spacing w:after="0" w:line="276" w:lineRule="auto"/>
        <w:jc w:val="both"/>
        <w:rPr>
          <w:rFonts w:ascii="Century Gothic" w:hAnsi="Century Gothic" w:cs="Calibri"/>
          <w:sz w:val="21"/>
          <w:szCs w:val="21"/>
        </w:rPr>
      </w:pPr>
      <w:r>
        <w:rPr>
          <w:rFonts w:ascii="Century Gothic" w:hAnsi="Century Gothic" w:cs="Calibri"/>
          <w:sz w:val="21"/>
          <w:szCs w:val="21"/>
        </w:rPr>
        <w:t xml:space="preserve">4. Dane o wniosku zostały zamieszczone w publicznie dostępnym wykazie danych, </w:t>
      </w:r>
      <w:r>
        <w:rPr>
          <w:rFonts w:ascii="Century Gothic" w:hAnsi="Century Gothic" w:cs="Calibri"/>
          <w:sz w:val="21"/>
          <w:szCs w:val="21"/>
        </w:rPr>
        <w:br/>
        <w:t>z którym można się zapoznać w Urzędzie Gminy Gniezno, al. Reymonta 9-11, pokój nr 9, w godzinach urzędowania oraz na stronie internetowej www.ekoportal.gov.pl – centrum informacji o środowisku.</w:t>
      </w:r>
    </w:p>
    <w:p w14:paraId="4EC536A7" w14:textId="77777777" w:rsidR="003B31BB" w:rsidRDefault="003B31BB" w:rsidP="003B31BB">
      <w:pPr>
        <w:spacing w:after="0" w:line="276" w:lineRule="auto"/>
        <w:jc w:val="both"/>
        <w:rPr>
          <w:rFonts w:ascii="Century Gothic" w:hAnsi="Century Gothic"/>
          <w:sz w:val="21"/>
          <w:szCs w:val="21"/>
        </w:rPr>
      </w:pPr>
      <w:r>
        <w:rPr>
          <w:rFonts w:ascii="Century Gothic" w:hAnsi="Century Gothic" w:cs="Calibri"/>
          <w:w w:val="103"/>
          <w:sz w:val="21"/>
          <w:szCs w:val="21"/>
        </w:rPr>
        <w:t>5. W związku</w:t>
      </w:r>
      <w:r>
        <w:rPr>
          <w:rFonts w:ascii="Century Gothic" w:hAnsi="Century Gothic"/>
          <w:sz w:val="21"/>
          <w:szCs w:val="21"/>
        </w:rPr>
        <w:t xml:space="preserve"> z tym, iż liczba stron przedmiotowego postępowania </w:t>
      </w:r>
      <w:proofErr w:type="spellStart"/>
      <w:r>
        <w:rPr>
          <w:rFonts w:ascii="Century Gothic" w:hAnsi="Century Gothic"/>
          <w:sz w:val="21"/>
          <w:szCs w:val="21"/>
        </w:rPr>
        <w:t>przekraczyła</w:t>
      </w:r>
      <w:proofErr w:type="spellEnd"/>
      <w:r>
        <w:rPr>
          <w:rFonts w:ascii="Century Gothic" w:hAnsi="Century Gothic"/>
          <w:sz w:val="21"/>
          <w:szCs w:val="21"/>
        </w:rPr>
        <w:t xml:space="preserve"> 10, Wójt Gminy Gniezno zawiadomił strony postępowania administracyjnego w formie Obwieszczenia (znak OŚR. 6220.8.2024 z dnia 7 stycznia 2025 r.,) o wszczętym w dniu 31 grudnia 2024 r. postępowaniu w sprawie wydania decyzji o środowiskowych uwarunkowaniach dla wnioskowanego przedsięwzięcia informując o możliwości zapoznania się z aktami sprawy.</w:t>
      </w:r>
    </w:p>
    <w:p w14:paraId="7ECE8DB7" w14:textId="77777777" w:rsidR="003B31BB" w:rsidRDefault="003B31BB" w:rsidP="003B31BB">
      <w:pPr>
        <w:pStyle w:val="Tekstpodstawowy3"/>
        <w:spacing w:after="0" w:line="276" w:lineRule="auto"/>
        <w:jc w:val="both"/>
        <w:rPr>
          <w:rFonts w:ascii="Century Gothic" w:hAnsi="Century Gothic" w:cs="Calibri"/>
          <w:sz w:val="21"/>
          <w:szCs w:val="21"/>
        </w:rPr>
      </w:pPr>
      <w:r>
        <w:rPr>
          <w:rFonts w:ascii="Century Gothic" w:hAnsi="Century Gothic" w:cs="Calibri"/>
          <w:sz w:val="21"/>
          <w:szCs w:val="21"/>
        </w:rPr>
        <w:t xml:space="preserve">6. Zgodnie z art. 64 ust. 1 pkt 1, 2 i 4, ust. 2, 3 i 4 ustawy z dnia 3 października </w:t>
      </w:r>
      <w:r>
        <w:rPr>
          <w:rFonts w:ascii="Century Gothic" w:hAnsi="Century Gothic" w:cs="Calibri"/>
          <w:bCs/>
          <w:sz w:val="21"/>
          <w:szCs w:val="21"/>
        </w:rPr>
        <w:t>2008 roku o udostępnianiu informacji o środowisku i jego ochronie, udziale społeczeństwa w ochronie środowiska oraz o ocenach oddziaływania na środowisko</w:t>
      </w:r>
      <w:r>
        <w:rPr>
          <w:rFonts w:ascii="Century Gothic"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551F98A5" w14:textId="77777777" w:rsidR="003B31BB" w:rsidRDefault="003B31BB" w:rsidP="003B31BB">
      <w:pPr>
        <w:numPr>
          <w:ilvl w:val="0"/>
          <w:numId w:val="4"/>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Postanowienie Regionalnego Dyrektora Ochrony Środowiska w Poznaniu z dnia 28 lutego 2025 r. znak WOO-IV.4220.41.2025.SK.2 (data wpływu 3.03.2025 r.),</w:t>
      </w:r>
    </w:p>
    <w:p w14:paraId="382FD2D3" w14:textId="77777777" w:rsidR="003B31BB" w:rsidRDefault="003B31BB" w:rsidP="003B31BB">
      <w:pPr>
        <w:numPr>
          <w:ilvl w:val="0"/>
          <w:numId w:val="4"/>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Opinia sanitarna Państwowego Powiatowego Inspektora Sanitarnego w Gnieźnie z dnia 15 stycznia 2025 r. znak ON-NS.9022.5.2.2025 (data wpływu 23.01.2025 r.), podtrzymana Postanowieniem z dnia 19 lutego 2025 r. znak ON-NS.9022.5.2.2025 (data wpływu 19.02.2025 r.),</w:t>
      </w:r>
    </w:p>
    <w:p w14:paraId="1DB7BD2D" w14:textId="77777777" w:rsidR="003B31BB" w:rsidRDefault="003B31BB" w:rsidP="003B31BB">
      <w:pPr>
        <w:numPr>
          <w:ilvl w:val="0"/>
          <w:numId w:val="4"/>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Opinia Dyrektora Zarządu Zlewni Wód Polskich w Poznaniu z dnia 16 stycznia 2025 r. znak PZ.ZZŚ.4901.12.2025.AR.1 (data wpływu 16.01.2025 r.), podtrzymana opinią z dnia 19 lutego 2025 r. znak PZ.ZZŚ.4901.12.2025.AR.2 (data wpływu 20.02.2025 r.).</w:t>
      </w:r>
    </w:p>
    <w:p w14:paraId="2CE116A1" w14:textId="77777777" w:rsidR="003B31BB" w:rsidRDefault="003B31BB" w:rsidP="003B31BB">
      <w:pPr>
        <w:spacing w:after="0" w:line="276" w:lineRule="auto"/>
        <w:ind w:left="720"/>
        <w:jc w:val="both"/>
        <w:rPr>
          <w:rFonts w:ascii="Century Gothic" w:hAnsi="Century Gothic" w:cs="Calibri"/>
          <w:sz w:val="21"/>
          <w:szCs w:val="21"/>
          <w:lang w:eastAsia="pl-PL"/>
        </w:rPr>
      </w:pPr>
      <w:r>
        <w:rPr>
          <w:rFonts w:ascii="Century Gothic" w:hAnsi="Century Gothic" w:cs="Calibri"/>
          <w:sz w:val="21"/>
          <w:szCs w:val="21"/>
          <w:lang w:eastAsia="pl-PL"/>
        </w:rPr>
        <w:t xml:space="preserve">Warunki i wymagania określone w ww. dokumentach zostały uwzględnione w sentencji niniejszej decyzji. </w:t>
      </w:r>
    </w:p>
    <w:p w14:paraId="522DE991" w14:textId="77777777" w:rsidR="003B31BB" w:rsidRDefault="003B31BB" w:rsidP="003B31BB">
      <w:pPr>
        <w:spacing w:after="0" w:line="276" w:lineRule="auto"/>
        <w:jc w:val="both"/>
        <w:rPr>
          <w:rFonts w:ascii="Century Gothic" w:eastAsia="Arial" w:hAnsi="Century Gothic" w:cs="Arial"/>
          <w:color w:val="000000"/>
          <w:sz w:val="21"/>
          <w:szCs w:val="21"/>
        </w:rPr>
      </w:pPr>
      <w:r>
        <w:rPr>
          <w:rFonts w:ascii="Century Gothic" w:hAnsi="Century Gothic" w:cs="Calibri"/>
          <w:sz w:val="21"/>
          <w:szCs w:val="21"/>
          <w:lang w:eastAsia="pl-PL"/>
        </w:rPr>
        <w:t xml:space="preserve">7. </w:t>
      </w:r>
      <w:r>
        <w:rPr>
          <w:rFonts w:ascii="Century Gothic" w:hAnsi="Century Gothic" w:cs="Arial"/>
          <w:sz w:val="21"/>
          <w:szCs w:val="21"/>
        </w:rPr>
        <w:t>Pismem z dnia 24 stycznia 2025 r. znak: WOO-IV.4220.41.2025.SK.1 Regionalny Dyrektor</w:t>
      </w:r>
      <w:r>
        <w:rPr>
          <w:rFonts w:ascii="Century Gothic" w:eastAsia="Arial" w:hAnsi="Century Gothic" w:cs="Arial"/>
          <w:color w:val="000000"/>
          <w:sz w:val="21"/>
          <w:szCs w:val="21"/>
        </w:rPr>
        <w:t xml:space="preserve"> Ochrony Środowiska w Poznaniu</w:t>
      </w:r>
      <w:r>
        <w:rPr>
          <w:rFonts w:ascii="Century Gothic" w:hAnsi="Century Gothic" w:cs="Arial"/>
          <w:sz w:val="21"/>
          <w:szCs w:val="21"/>
        </w:rPr>
        <w:t xml:space="preserve"> zwrócił się do </w:t>
      </w:r>
      <w:r>
        <w:rPr>
          <w:rFonts w:ascii="Century Gothic" w:hAnsi="Century Gothic" w:cs="Arial"/>
          <w:color w:val="000000"/>
          <w:sz w:val="21"/>
          <w:szCs w:val="21"/>
        </w:rPr>
        <w:t xml:space="preserve">Wójta Gminy Gniezno </w:t>
      </w:r>
      <w:r>
        <w:rPr>
          <w:rFonts w:ascii="Century Gothic" w:hAnsi="Century Gothic" w:cs="Arial"/>
          <w:color w:val="000000"/>
          <w:sz w:val="21"/>
          <w:szCs w:val="21"/>
        </w:rPr>
        <w:br/>
      </w:r>
      <w:r>
        <w:rPr>
          <w:rFonts w:ascii="Century Gothic" w:hAnsi="Century Gothic" w:cs="Arial"/>
          <w:sz w:val="21"/>
          <w:szCs w:val="21"/>
        </w:rPr>
        <w:t xml:space="preserve">o wezwanie wnioskodawcy do uzupełnienia karty informacyjnej przedsięwzięcia, określając jednocześnie zakres wezwania. </w:t>
      </w:r>
      <w:r>
        <w:rPr>
          <w:rFonts w:ascii="Century Gothic" w:eastAsia="Arial" w:hAnsi="Century Gothic" w:cs="Arial"/>
          <w:color w:val="000000"/>
          <w:sz w:val="21"/>
          <w:szCs w:val="21"/>
        </w:rPr>
        <w:t xml:space="preserve">Wymagane uzupełnienie Wójt Gminy Gniezno przekazał Regionalnemu Dyrektorowi Ochrony Środowiska w Poznaniu pismem z dnia 10 lutego 2025 r. znak 6220.8.2024. Uzupełnienia karty informacyjnej przedsięwzięcia zostały również przekazane do PPIS w Gnieźnie oraz Dyrektora Zarządu Zlewni Wód Polskich w Poznaniu. </w:t>
      </w:r>
    </w:p>
    <w:p w14:paraId="466639AA" w14:textId="77777777" w:rsidR="003B31BB" w:rsidRDefault="003B31BB" w:rsidP="003B31BB">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8.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w:t>
      </w:r>
      <w:r>
        <w:rPr>
          <w:rFonts w:ascii="Century Gothic" w:hAnsi="Century Gothic" w:cs="Calibri"/>
          <w:sz w:val="21"/>
          <w:szCs w:val="21"/>
          <w:lang w:eastAsia="pl-PL"/>
        </w:rPr>
        <w:lastRenderedPageBreak/>
        <w:t xml:space="preserve">społeczeństwa w ochronie środowiska oraz o ocenach oddziaływania na środowisko, </w:t>
      </w:r>
      <w:r>
        <w:rPr>
          <w:rFonts w:ascii="Century Gothic" w:hAnsi="Century Gothic" w:cs="Calibri"/>
          <w:sz w:val="21"/>
          <w:szCs w:val="21"/>
          <w:lang w:eastAsia="pl-PL"/>
        </w:rPr>
        <w:br/>
        <w:t>a przede wszystkim takich cech przedsięwzięcia jak:</w:t>
      </w:r>
    </w:p>
    <w:p w14:paraId="5ABF0E5D" w14:textId="77777777" w:rsidR="003B31BB" w:rsidRDefault="003B31BB" w:rsidP="003B31BB">
      <w:pPr>
        <w:numPr>
          <w:ilvl w:val="0"/>
          <w:numId w:val="5"/>
        </w:numPr>
        <w:spacing w:after="0" w:line="276" w:lineRule="auto"/>
        <w:jc w:val="both"/>
        <w:rPr>
          <w:rFonts w:ascii="Century Gothic" w:hAnsi="Century Gothic" w:cs="Calibri"/>
          <w:sz w:val="21"/>
          <w:szCs w:val="21"/>
          <w:lang w:eastAsia="pl-PL"/>
        </w:rPr>
      </w:pPr>
      <w:r>
        <w:rPr>
          <w:rFonts w:ascii="Century Gothic" w:hAnsi="Century Gothic" w:cs="Calibri"/>
          <w:b/>
          <w:i/>
          <w:sz w:val="21"/>
          <w:szCs w:val="21"/>
          <w:lang w:eastAsia="pl-PL"/>
        </w:rPr>
        <w:t xml:space="preserve">rodzaj i charakterystyka przedsięwzięcia </w:t>
      </w:r>
      <w:r>
        <w:rPr>
          <w:rFonts w:ascii="Century Gothic" w:hAnsi="Century Gothic" w:cs="Calibri"/>
          <w:i/>
          <w:sz w:val="21"/>
          <w:szCs w:val="21"/>
          <w:lang w:eastAsia="pl-PL"/>
        </w:rPr>
        <w:t xml:space="preserve">(art. 63 ust. 1 pkt 1 ustawy </w:t>
      </w:r>
      <w:proofErr w:type="spellStart"/>
      <w:r>
        <w:rPr>
          <w:rFonts w:ascii="Century Gothic" w:hAnsi="Century Gothic" w:cs="Calibri"/>
          <w:i/>
          <w:sz w:val="21"/>
          <w:szCs w:val="21"/>
          <w:lang w:eastAsia="pl-PL"/>
        </w:rPr>
        <w:t>ooś</w:t>
      </w:r>
      <w:proofErr w:type="spellEnd"/>
      <w:r>
        <w:rPr>
          <w:rFonts w:ascii="Century Gothic" w:hAnsi="Century Gothic" w:cs="Calibri"/>
          <w:i/>
          <w:sz w:val="21"/>
          <w:szCs w:val="21"/>
          <w:lang w:eastAsia="pl-PL"/>
        </w:rPr>
        <w:t>)</w:t>
      </w:r>
      <w:r>
        <w:rPr>
          <w:rFonts w:ascii="Century Gothic" w:hAnsi="Century Gothic" w:cs="Calibri"/>
          <w:sz w:val="21"/>
          <w:szCs w:val="21"/>
          <w:lang w:eastAsia="pl-PL"/>
        </w:rPr>
        <w:t xml:space="preserve"> - planowane przedsięwzięcie polegać będzie</w:t>
      </w:r>
      <w:r>
        <w:rPr>
          <w:rFonts w:ascii="Century Gothic" w:hAnsi="Century Gothic" w:cs="Calibri"/>
          <w:sz w:val="21"/>
          <w:szCs w:val="21"/>
        </w:rPr>
        <w:t xml:space="preserve"> </w:t>
      </w:r>
      <w:r>
        <w:rPr>
          <w:rFonts w:ascii="Century Gothic" w:hAnsi="Century Gothic" w:cs="Arial"/>
          <w:sz w:val="21"/>
          <w:szCs w:val="21"/>
        </w:rPr>
        <w:t xml:space="preserve">na </w:t>
      </w:r>
      <w:r>
        <w:rPr>
          <w:rFonts w:ascii="Century Gothic" w:hAnsi="Century Gothic" w:cs="Calibri"/>
          <w:bCs/>
          <w:iCs/>
          <w:sz w:val="21"/>
          <w:szCs w:val="21"/>
        </w:rPr>
        <w:t>wykonaniu</w:t>
      </w:r>
      <w:r>
        <w:rPr>
          <w:rFonts w:ascii="Century Gothic" w:hAnsi="Century Gothic"/>
          <w:sz w:val="21"/>
          <w:szCs w:val="21"/>
        </w:rPr>
        <w:t xml:space="preserve"> urządzenia umożliwiającego pobór wód podziemnych o zdolności poboru 50 m³/h na działce nr 1/4 oraz gospodarowanie wodą w rolnictwie pn. melioracji na powierzchni 25 ha na terenie działki nr 1/4 w miejscowości Modliszewo, Gmina Gniezno. </w:t>
      </w:r>
    </w:p>
    <w:p w14:paraId="6E96FD4B" w14:textId="77777777" w:rsidR="003B31BB" w:rsidRDefault="003B31BB" w:rsidP="003B31BB">
      <w:pPr>
        <w:spacing w:after="0" w:line="276" w:lineRule="auto"/>
        <w:ind w:left="720"/>
        <w:jc w:val="both"/>
        <w:rPr>
          <w:rFonts w:ascii="Century Gothic" w:hAnsi="Century Gothic"/>
          <w:sz w:val="21"/>
          <w:szCs w:val="21"/>
        </w:rPr>
      </w:pPr>
      <w:r>
        <w:rPr>
          <w:rFonts w:ascii="Century Gothic" w:hAnsi="Century Gothic"/>
          <w:sz w:val="21"/>
          <w:szCs w:val="21"/>
        </w:rPr>
        <w:t xml:space="preserve">Planowane ujęcie zostanie wykonane w odwierconym na głębokość 155 m p.p.t. otworze hydrogeologicznym (ujmującym mioceński poziom wodonośny), który został zrealizowany po uzyskaniu decyzji właściwego organu zatwierdzającej projekt robót geologicznych na wykonanie tego otworu. Decyzją z 12 września 2024 r., znak: GP.6531.6.2024 Starosta Gnieźnieński zatwierdził dokumentację hydrogeologiczną ustalającą zasoby eksploatacyjne dla planowanego ujęcia w ilości </w:t>
      </w:r>
      <w:proofErr w:type="spellStart"/>
      <w:r>
        <w:rPr>
          <w:rFonts w:ascii="Century Gothic" w:hAnsi="Century Gothic"/>
          <w:sz w:val="21"/>
          <w:szCs w:val="21"/>
        </w:rPr>
        <w:t>Qe</w:t>
      </w:r>
      <w:proofErr w:type="spellEnd"/>
      <w:r>
        <w:rPr>
          <w:rFonts w:ascii="Century Gothic" w:hAnsi="Century Gothic"/>
          <w:sz w:val="21"/>
          <w:szCs w:val="21"/>
        </w:rPr>
        <w:t xml:space="preserve"> 9,0 m </w:t>
      </w:r>
      <w:r>
        <w:rPr>
          <w:rFonts w:ascii="Century Gothic" w:hAnsi="Century Gothic"/>
          <w:sz w:val="21"/>
          <w:szCs w:val="21"/>
          <w:vertAlign w:val="superscript"/>
        </w:rPr>
        <w:t>3</w:t>
      </w:r>
      <w:r>
        <w:rPr>
          <w:rFonts w:ascii="Century Gothic" w:hAnsi="Century Gothic"/>
          <w:sz w:val="21"/>
          <w:szCs w:val="21"/>
        </w:rPr>
        <w:t xml:space="preserve">/h przy depresji </w:t>
      </w:r>
      <w:proofErr w:type="spellStart"/>
      <w:r>
        <w:rPr>
          <w:rFonts w:ascii="Century Gothic" w:hAnsi="Century Gothic"/>
          <w:sz w:val="21"/>
          <w:szCs w:val="21"/>
        </w:rPr>
        <w:t>Sw</w:t>
      </w:r>
      <w:proofErr w:type="spellEnd"/>
      <w:r>
        <w:rPr>
          <w:rFonts w:ascii="Century Gothic" w:hAnsi="Century Gothic"/>
          <w:sz w:val="21"/>
          <w:szCs w:val="21"/>
        </w:rPr>
        <w:t xml:space="preserve"> = 0,44 m. Na podstawie treści zgromadzonych materiałów ustalono, że w ramach przedmiotowego przedsięwzięcia otwór hydrogeologiczny, o którym wyżej mowa, zostanie wyposażony w pompę głębinową umożliwiającą pobór wody o wydajności maksymalnej godzinowej </w:t>
      </w:r>
      <w:proofErr w:type="spellStart"/>
      <w:r>
        <w:rPr>
          <w:rFonts w:ascii="Century Gothic" w:hAnsi="Century Gothic"/>
          <w:sz w:val="21"/>
          <w:szCs w:val="21"/>
        </w:rPr>
        <w:t>Qhmax</w:t>
      </w:r>
      <w:proofErr w:type="spellEnd"/>
      <w:r>
        <w:rPr>
          <w:rFonts w:ascii="Century Gothic" w:hAnsi="Century Gothic"/>
          <w:sz w:val="21"/>
          <w:szCs w:val="21"/>
        </w:rPr>
        <w:t xml:space="preserve"> 50 m</w:t>
      </w:r>
      <w:r>
        <w:rPr>
          <w:rFonts w:ascii="Century Gothic" w:hAnsi="Century Gothic"/>
          <w:sz w:val="21"/>
          <w:szCs w:val="21"/>
          <w:vertAlign w:val="superscript"/>
        </w:rPr>
        <w:t>3</w:t>
      </w:r>
      <w:r>
        <w:rPr>
          <w:rFonts w:ascii="Century Gothic" w:hAnsi="Century Gothic"/>
          <w:sz w:val="21"/>
          <w:szCs w:val="21"/>
        </w:rPr>
        <w:t xml:space="preserve">/h oraz w szczelną obudowę. Z </w:t>
      </w:r>
      <w:proofErr w:type="spellStart"/>
      <w:r>
        <w:rPr>
          <w:rFonts w:ascii="Century Gothic" w:hAnsi="Century Gothic"/>
          <w:sz w:val="21"/>
          <w:szCs w:val="21"/>
        </w:rPr>
        <w:t>k.i.p</w:t>
      </w:r>
      <w:proofErr w:type="spellEnd"/>
      <w:r>
        <w:rPr>
          <w:rFonts w:ascii="Century Gothic" w:hAnsi="Century Gothic"/>
          <w:sz w:val="21"/>
          <w:szCs w:val="21"/>
        </w:rPr>
        <w:t xml:space="preserve">. wynika, że pobór wody z planowanej studni będzie realizowany na potrzeby nawadniania upraw rolnych za pomocą deszczowni szpulowej, na gruntach o powierzchni do 25 ha. </w:t>
      </w:r>
    </w:p>
    <w:p w14:paraId="31801B96" w14:textId="77777777" w:rsidR="003B31BB" w:rsidRDefault="003B31BB" w:rsidP="003B31BB">
      <w:pPr>
        <w:spacing w:after="0" w:line="276" w:lineRule="auto"/>
        <w:ind w:left="720"/>
        <w:jc w:val="both"/>
        <w:rPr>
          <w:rFonts w:ascii="Century Gothic" w:hAnsi="Century Gothic"/>
          <w:sz w:val="21"/>
          <w:szCs w:val="21"/>
        </w:rPr>
      </w:pPr>
      <w:r>
        <w:rPr>
          <w:rFonts w:ascii="Century Gothic" w:hAnsi="Century Gothic"/>
          <w:sz w:val="21"/>
          <w:szCs w:val="21"/>
        </w:rPr>
        <w:t xml:space="preserve">Zgodnie z informacjami przedstawionymi w </w:t>
      </w:r>
      <w:proofErr w:type="spellStart"/>
      <w:r>
        <w:rPr>
          <w:rFonts w:ascii="Century Gothic" w:hAnsi="Century Gothic"/>
          <w:sz w:val="21"/>
          <w:szCs w:val="21"/>
        </w:rPr>
        <w:t>k.i.p</w:t>
      </w:r>
      <w:proofErr w:type="spellEnd"/>
      <w:r>
        <w:rPr>
          <w:rFonts w:ascii="Century Gothic" w:hAnsi="Century Gothic"/>
          <w:sz w:val="21"/>
          <w:szCs w:val="21"/>
        </w:rPr>
        <w:t xml:space="preserve">. nawadnianie będzie realizowane okresowo, w sezonie wegetacyjnym roślin (od 1 kwietnia do 30 września). Eksploatacja ujęcia będzie prowadzona w ramach ustalonych i zatwierdzonych dla niego zasobów eksploatacyjnych. Zgłoszone przez wnioskodawcę roczne zapotrzebowanie na wodę wyniesie </w:t>
      </w:r>
      <w:proofErr w:type="spellStart"/>
      <w:r>
        <w:rPr>
          <w:rFonts w:ascii="Century Gothic" w:hAnsi="Century Gothic"/>
          <w:sz w:val="21"/>
          <w:szCs w:val="21"/>
        </w:rPr>
        <w:t>Qdop.rocz</w:t>
      </w:r>
      <w:proofErr w:type="spellEnd"/>
      <w:r>
        <w:rPr>
          <w:rFonts w:ascii="Century Gothic" w:hAnsi="Century Gothic"/>
          <w:sz w:val="21"/>
          <w:szCs w:val="21"/>
        </w:rPr>
        <w:t xml:space="preserve">. 75 000 m </w:t>
      </w:r>
      <w:r>
        <w:rPr>
          <w:rFonts w:ascii="Century Gothic" w:hAnsi="Century Gothic"/>
          <w:sz w:val="21"/>
          <w:szCs w:val="21"/>
          <w:vertAlign w:val="superscript"/>
        </w:rPr>
        <w:t>3</w:t>
      </w:r>
      <w:r>
        <w:rPr>
          <w:rFonts w:ascii="Century Gothic" w:hAnsi="Century Gothic"/>
          <w:sz w:val="21"/>
          <w:szCs w:val="21"/>
        </w:rPr>
        <w:t xml:space="preserve">. </w:t>
      </w:r>
    </w:p>
    <w:p w14:paraId="1AAF0E5B" w14:textId="77777777" w:rsidR="003B31BB" w:rsidRDefault="003B31BB" w:rsidP="003B31BB">
      <w:pPr>
        <w:spacing w:after="0" w:line="276" w:lineRule="auto"/>
        <w:ind w:left="720"/>
        <w:jc w:val="both"/>
        <w:rPr>
          <w:rFonts w:ascii="Century Gothic" w:hAnsi="Century Gothic"/>
          <w:sz w:val="21"/>
          <w:szCs w:val="21"/>
        </w:rPr>
      </w:pPr>
      <w:r>
        <w:rPr>
          <w:rFonts w:ascii="Century Gothic" w:hAnsi="Century Gothic"/>
          <w:sz w:val="21"/>
          <w:szCs w:val="21"/>
        </w:rPr>
        <w:t>Z uwagi na fakt, że powyższe ustalenia i założenia wnioskodawcy w zakresie zapotrzebowania na wodę stanowiły podstawę do analizy w zakresie oddziaływania planowanego przedsięwzięcia na lokalne zasoby wód podziemnych, znalazły one swoje odzwierciedlenie w warunkach wpisanych w niniejszej decyzji, jako gwarant eksploatacji studni w sposób bezpieczny dla lokalnych zasobów wód podziemnych, szczególnie w aspekcie ilościowym. W celu ograniczenia nadmiernego parowania i związanej z tym mniejszej ilości wody docierającej do podłoża w przedmiotowej decyzji wpisano również warunek, aby nie prowadzić nawadniania upraw w godzinach południowych, przy intensywnym nasłonecznieniu.</w:t>
      </w:r>
    </w:p>
    <w:p w14:paraId="48C669C3"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 xml:space="preserve">W przedłożonej karcie informacyjnej przedsięwzięcia przeprowadzono analizę oddziaływania planowanej studni na inne studnie (stanowiące własność innych użytkowników) dla poboru </w:t>
      </w:r>
      <w:proofErr w:type="spellStart"/>
      <w:r>
        <w:rPr>
          <w:rFonts w:ascii="Century Gothic" w:hAnsi="Century Gothic" w:cs="Arial"/>
          <w:bCs/>
          <w:sz w:val="21"/>
          <w:szCs w:val="21"/>
        </w:rPr>
        <w:t>Qhmax</w:t>
      </w:r>
      <w:proofErr w:type="spellEnd"/>
      <w:r>
        <w:rPr>
          <w:rFonts w:ascii="Century Gothic" w:hAnsi="Century Gothic" w:cs="Arial"/>
          <w:bCs/>
          <w:sz w:val="21"/>
          <w:szCs w:val="21"/>
        </w:rPr>
        <w:t xml:space="preserve"> 50 m</w:t>
      </w:r>
      <w:r>
        <w:rPr>
          <w:rFonts w:ascii="Century Gothic" w:hAnsi="Century Gothic" w:cs="Arial"/>
          <w:bCs/>
          <w:sz w:val="21"/>
          <w:szCs w:val="21"/>
          <w:vertAlign w:val="superscript"/>
        </w:rPr>
        <w:t>3</w:t>
      </w:r>
      <w:r>
        <w:rPr>
          <w:rFonts w:ascii="Century Gothic" w:hAnsi="Century Gothic" w:cs="Arial"/>
          <w:bCs/>
          <w:sz w:val="21"/>
          <w:szCs w:val="21"/>
        </w:rPr>
        <w:t xml:space="preserve">/h, która wykazała, że w zasięgu leja depresji wyznaczonego dla poboru </w:t>
      </w:r>
      <w:proofErr w:type="spellStart"/>
      <w:r>
        <w:rPr>
          <w:rFonts w:ascii="Century Gothic" w:hAnsi="Century Gothic" w:cs="Arial"/>
          <w:bCs/>
          <w:sz w:val="21"/>
          <w:szCs w:val="21"/>
        </w:rPr>
        <w:t>Qhmax</w:t>
      </w:r>
      <w:proofErr w:type="spellEnd"/>
      <w:r>
        <w:rPr>
          <w:rFonts w:ascii="Century Gothic" w:hAnsi="Century Gothic" w:cs="Arial"/>
          <w:bCs/>
          <w:sz w:val="21"/>
          <w:szCs w:val="21"/>
        </w:rPr>
        <w:t xml:space="preserve"> 50 m</w:t>
      </w:r>
      <w:r>
        <w:rPr>
          <w:rFonts w:ascii="Century Gothic" w:hAnsi="Century Gothic" w:cs="Arial"/>
          <w:bCs/>
          <w:sz w:val="21"/>
          <w:szCs w:val="21"/>
          <w:vertAlign w:val="superscript"/>
        </w:rPr>
        <w:t>3</w:t>
      </w:r>
      <w:r>
        <w:rPr>
          <w:rFonts w:ascii="Century Gothic" w:hAnsi="Century Gothic" w:cs="Arial"/>
          <w:bCs/>
          <w:sz w:val="21"/>
          <w:szCs w:val="21"/>
        </w:rPr>
        <w:t xml:space="preserve">/h, będącego odzwierciedleniem sytuacji najbardziej niekorzystnej, jaka może wystąpić (R 91,77 m) nie znajdują się inne, czynne studnie eksploatujące ten sam, mioceński poziom wodonośny, stanowiące własność innych podmiotów i właścicieli prywatnych. Najbliższe inne ujęcie, ujmujące wody podziemne z tego samego poziomu wodonośnego, o promieniu leja depresji R = 136,1 znajduje się w odległości około 0,6 km na południowy -zachód od planowanej studni. </w:t>
      </w:r>
    </w:p>
    <w:p w14:paraId="7ED43A39"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 xml:space="preserve">Biorąc pod uwagę przewidywaną maksymalną wydajność chwilową planowanej studni na poziomie 50 m </w:t>
      </w:r>
      <w:r>
        <w:rPr>
          <w:rFonts w:ascii="Century Gothic" w:hAnsi="Century Gothic" w:cs="Arial"/>
          <w:bCs/>
          <w:sz w:val="21"/>
          <w:szCs w:val="21"/>
          <w:vertAlign w:val="superscript"/>
        </w:rPr>
        <w:t>3</w:t>
      </w:r>
      <w:r>
        <w:rPr>
          <w:rFonts w:ascii="Century Gothic" w:hAnsi="Century Gothic" w:cs="Arial"/>
          <w:bCs/>
          <w:sz w:val="21"/>
          <w:szCs w:val="21"/>
        </w:rPr>
        <w:t xml:space="preserve">/h i jej planowaną lokalizację względem innych ujęć, na które mogłaby oddziaływać, w oparciu o informacje zawarte w </w:t>
      </w:r>
      <w:proofErr w:type="spellStart"/>
      <w:r>
        <w:rPr>
          <w:rFonts w:ascii="Century Gothic" w:hAnsi="Century Gothic" w:cs="Arial"/>
          <w:bCs/>
          <w:sz w:val="21"/>
          <w:szCs w:val="21"/>
        </w:rPr>
        <w:t>k.i.p</w:t>
      </w:r>
      <w:proofErr w:type="spellEnd"/>
      <w:r>
        <w:rPr>
          <w:rFonts w:ascii="Century Gothic" w:hAnsi="Century Gothic" w:cs="Arial"/>
          <w:bCs/>
          <w:sz w:val="21"/>
          <w:szCs w:val="21"/>
        </w:rPr>
        <w:t xml:space="preserve">. i w </w:t>
      </w:r>
      <w:r>
        <w:rPr>
          <w:rFonts w:ascii="Century Gothic" w:hAnsi="Century Gothic" w:cs="Arial"/>
          <w:bCs/>
          <w:sz w:val="21"/>
          <w:szCs w:val="21"/>
        </w:rPr>
        <w:lastRenderedPageBreak/>
        <w:t>dokumentacji hydrogeologicznej nie przewiduje się ryzyka wystąpienia wzajemnego oddziaływania studni planowanej ze studniami już istniejącymi, ani też znacząco negatywnego wpływu poboru wody z analizowanej studni na lokalne zasoby wód podziemnych.</w:t>
      </w:r>
    </w:p>
    <w:p w14:paraId="2ECA9B7D"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 xml:space="preserve">Biorąc pod uwagę rodzaj, skalę i lokalizację przedmiotowego przedsięwzięcia, w odniesieniu do zapisów art. 63 ust 1 pkt 1 lit. b oraz pkt 3 lit. f ustawy </w:t>
      </w:r>
      <w:proofErr w:type="spellStart"/>
      <w:r>
        <w:rPr>
          <w:rFonts w:ascii="Century Gothic" w:hAnsi="Century Gothic" w:cs="Arial"/>
          <w:bCs/>
          <w:sz w:val="21"/>
          <w:szCs w:val="21"/>
        </w:rPr>
        <w:t>ooś</w:t>
      </w:r>
      <w:proofErr w:type="spellEnd"/>
      <w:r>
        <w:rPr>
          <w:rFonts w:ascii="Century Gothic" w:hAnsi="Century Gothic" w:cs="Arial"/>
          <w:bCs/>
          <w:sz w:val="21"/>
          <w:szCs w:val="21"/>
        </w:rPr>
        <w:t xml:space="preserve">, nie przewiduje się powiązań, ani kumulowania oddziaływań planowanej inwestycji z innymi przedsięwzięciami. </w:t>
      </w:r>
    </w:p>
    <w:p w14:paraId="2DBBCAC6" w14:textId="77777777" w:rsidR="003B31BB" w:rsidRDefault="003B31BB" w:rsidP="003B31BB">
      <w:pPr>
        <w:spacing w:after="0" w:line="276" w:lineRule="auto"/>
        <w:ind w:left="720"/>
        <w:jc w:val="both"/>
        <w:rPr>
          <w:rFonts w:ascii="Century Gothic" w:hAnsi="Century Gothic"/>
          <w:sz w:val="21"/>
          <w:szCs w:val="21"/>
        </w:rPr>
      </w:pPr>
      <w:r>
        <w:rPr>
          <w:rFonts w:ascii="Century Gothic" w:hAnsi="Century Gothic" w:cs="Arial"/>
          <w:bCs/>
          <w:sz w:val="21"/>
          <w:szCs w:val="21"/>
        </w:rPr>
        <w:t xml:space="preserve">Ze względu na skalę, rodzaj i charakter przedsięwzięcia stwierdzono, że nie będzie ono negatywnie wpływać na lokalne warunki gruntowo-wodne. </w:t>
      </w:r>
      <w:r>
        <w:rPr>
          <w:rFonts w:ascii="Century Gothic" w:hAnsi="Century Gothic"/>
          <w:sz w:val="21"/>
          <w:szCs w:val="21"/>
        </w:rPr>
        <w:t>Odwiercony otwór hydrogeologiczny po uzbrojeniu w pompę zostanie zabezpieczony w sposób uniemożliwiający migrację wraz z wodami opadowymi zanieczyszczeń z powierzchni ziemi do jego wnętrza poprzez wyposażenie w szczelną obudowę. Analiza zgromadzonych materiałów wykazała, że planowany do eksploatacji mioceński poziom wodonośny jest izolowany od powierzchni terenu kompleksem bardzo słabo przepuszczalnych glin i iłów.</w:t>
      </w:r>
    </w:p>
    <w:p w14:paraId="185EE8E5" w14:textId="77777777" w:rsidR="003B31BB" w:rsidRDefault="003B31BB" w:rsidP="003B31BB">
      <w:pPr>
        <w:spacing w:after="0" w:line="276" w:lineRule="auto"/>
        <w:ind w:left="720"/>
        <w:jc w:val="both"/>
        <w:rPr>
          <w:rFonts w:ascii="Century Gothic" w:hAnsi="Century Gothic"/>
          <w:sz w:val="21"/>
          <w:szCs w:val="21"/>
        </w:rPr>
      </w:pPr>
      <w:r>
        <w:rPr>
          <w:rFonts w:ascii="Century Gothic" w:hAnsi="Century Gothic"/>
          <w:sz w:val="21"/>
          <w:szCs w:val="21"/>
        </w:rPr>
        <w:t xml:space="preserve">Zgodnie z wnioskami zawartymi w przedłożonej dokumentacji hydrogeologicznej sporządzonej dla przedmiotowego ujęcia oraz w </w:t>
      </w:r>
      <w:proofErr w:type="spellStart"/>
      <w:r>
        <w:rPr>
          <w:rFonts w:ascii="Century Gothic" w:hAnsi="Century Gothic"/>
          <w:sz w:val="21"/>
          <w:szCs w:val="21"/>
        </w:rPr>
        <w:t>k.i.p</w:t>
      </w:r>
      <w:proofErr w:type="spellEnd"/>
      <w:r>
        <w:rPr>
          <w:rFonts w:ascii="Century Gothic" w:hAnsi="Century Gothic"/>
          <w:sz w:val="21"/>
          <w:szCs w:val="21"/>
        </w:rPr>
        <w:t xml:space="preserve">. okresowa eksploatacja ujęcia z planowaną wydajnością nie wpłynie znacząco negatywnie zarówno na ilościowy, jak i jakościowy stan wód powierzchniowych i podziemnych. Nie zostaną również naruszone interesy osób trzecich. Z informacji przedstawionych w uzupełnieniu </w:t>
      </w:r>
      <w:proofErr w:type="spellStart"/>
      <w:r>
        <w:rPr>
          <w:rFonts w:ascii="Century Gothic" w:hAnsi="Century Gothic"/>
          <w:sz w:val="21"/>
          <w:szCs w:val="21"/>
        </w:rPr>
        <w:t>k.i.p</w:t>
      </w:r>
      <w:proofErr w:type="spellEnd"/>
      <w:r>
        <w:rPr>
          <w:rFonts w:ascii="Century Gothic" w:hAnsi="Century Gothic"/>
          <w:sz w:val="21"/>
          <w:szCs w:val="21"/>
        </w:rPr>
        <w:t xml:space="preserve">. wynika, że pobór wód podziemnych z planowanego ujęcia na poziomie </w:t>
      </w:r>
      <w:proofErr w:type="spellStart"/>
      <w:r>
        <w:rPr>
          <w:rFonts w:ascii="Century Gothic" w:hAnsi="Century Gothic"/>
          <w:sz w:val="21"/>
          <w:szCs w:val="21"/>
        </w:rPr>
        <w:t>Qe</w:t>
      </w:r>
      <w:proofErr w:type="spellEnd"/>
      <w:r>
        <w:rPr>
          <w:rFonts w:ascii="Century Gothic" w:hAnsi="Century Gothic"/>
          <w:sz w:val="21"/>
          <w:szCs w:val="21"/>
        </w:rPr>
        <w:t xml:space="preserve"> 9,0 m </w:t>
      </w:r>
      <w:r>
        <w:rPr>
          <w:rFonts w:ascii="Century Gothic" w:hAnsi="Century Gothic"/>
          <w:sz w:val="21"/>
          <w:szCs w:val="21"/>
          <w:vertAlign w:val="superscript"/>
        </w:rPr>
        <w:t>3</w:t>
      </w:r>
      <w:r>
        <w:rPr>
          <w:rFonts w:ascii="Century Gothic" w:hAnsi="Century Gothic"/>
          <w:sz w:val="21"/>
          <w:szCs w:val="21"/>
        </w:rPr>
        <w:t xml:space="preserve">/h (ustalone zasoby eksploatacyjne) i </w:t>
      </w:r>
      <w:proofErr w:type="spellStart"/>
      <w:r>
        <w:rPr>
          <w:rFonts w:ascii="Century Gothic" w:hAnsi="Century Gothic"/>
          <w:sz w:val="21"/>
          <w:szCs w:val="21"/>
        </w:rPr>
        <w:t>Qhmax</w:t>
      </w:r>
      <w:proofErr w:type="spellEnd"/>
      <w:r>
        <w:rPr>
          <w:rFonts w:ascii="Century Gothic" w:hAnsi="Century Gothic"/>
          <w:sz w:val="21"/>
          <w:szCs w:val="21"/>
        </w:rPr>
        <w:t xml:space="preserve"> 50 m³/h (maksymalna wydajność chwilowa) nie naruszy zasobów dyspozycyjnych jednostki bilansowej XI-A Górna Wełna, w której ujęcie zostanie zlokalizowane. Ujęcie będzie eksploatowane w sposób zapewniający ochronę użytkowej warstwy wodonośnej przed nadmierną eksploatacją i umożliwiający korzystanie z dostępnych rezerw zasobowych przez innych, przyszłych użytkowników.</w:t>
      </w:r>
    </w:p>
    <w:p w14:paraId="0C19604D"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Odpady tj. odpady opakowaniowe i tworzywa sztuczne, będą czasowo magazynowane selektywnie w odpowiednich workach, po czym zostaną przekazane uprawnionym podmiotom do dalszego zagospodarowania. Etap eksploatacji przedsięwzięcia nie będzie się wiązał z wytwarzaniem odpadów.</w:t>
      </w:r>
    </w:p>
    <w:p w14:paraId="44902BE9"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W wyniku realizacji inwestycji nie zwiększy się poziom hałasu w środowisku, a co za tym idzie nie zostaną przekroczone akustyczne standardy jakości środowiska. Ponadto, nie przewiduje się wpływu przedsięwzięcia na stan jakości powietrza w rejonie zainwestowania. W związku z realizacją inwestycji nie planuje się zainstalowania urządzeń emitujących zanieczyszczenia powietrza oraz pola elektromagnetyczne. Jedynie na etapie realizacji mogą się pojawić okresowe uciążliwości, które jednak ustąpią po zakończeniu robót wiertniczych.</w:t>
      </w:r>
    </w:p>
    <w:p w14:paraId="69F15D7D"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 xml:space="preserve">Z uwagi na rodzaj i lokalizację planowanego przedsięwzięcia, należy stwierdzić, że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29 stycznia 2016 r. </w:t>
      </w:r>
      <w:r>
        <w:rPr>
          <w:rFonts w:ascii="Century Gothic" w:hAnsi="Century Gothic" w:cs="Arial"/>
          <w:bCs/>
          <w:sz w:val="21"/>
          <w:szCs w:val="21"/>
        </w:rPr>
        <w:br/>
        <w:t xml:space="preserve">w sprawie rodzajów i ilości znajdujących się w zakładzie substancji niebezpiecznych, decydujących o zaliczeniu zakładu do zakładu o zwiększonym lub dużym ryzyku wystąpienia poważnej awarii przemysłowej (Dz. U. z 2016 r. poz. </w:t>
      </w:r>
      <w:r>
        <w:rPr>
          <w:rFonts w:ascii="Century Gothic" w:hAnsi="Century Gothic" w:cs="Arial"/>
          <w:bCs/>
          <w:sz w:val="21"/>
          <w:szCs w:val="21"/>
        </w:rPr>
        <w:lastRenderedPageBreak/>
        <w:t>138). Ze względu na położenie geograficzne przedsięwzięcie nie jest zagrożone ryzykiem katastrofy naturalnej, w szczególności w wyniku wystąpienia: trzęsień ziemi, powodzi czy osuwisk. Z uwagi na charakter i lokalizację przedsięwzięcia (pod ziemią) nie przewiduje się jego wpływu na zmiany klimatu, ani wpływu postępujących zmian klimatu na to przedsięwzięcie.</w:t>
      </w:r>
    </w:p>
    <w:p w14:paraId="6B9C6810"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sz w:val="21"/>
          <w:szCs w:val="21"/>
        </w:rPr>
        <w:t xml:space="preserve">Eksploatacja przedsięwzięcia nie będzie się wiązała z nadmiernym wykorzystaniem zasobów naturalnych w postaci wód podziemnych. W wyniku realizacji i eksploatacji inwestycji nie będzie dochodzić do znaczącego negatywnego wpływu na bioróżnorodność. </w:t>
      </w:r>
    </w:p>
    <w:p w14:paraId="6A511DFA" w14:textId="77777777" w:rsidR="003B31BB" w:rsidRDefault="003B31BB" w:rsidP="003B31BB">
      <w:pPr>
        <w:pStyle w:val="Bezodstpw1"/>
        <w:numPr>
          <w:ilvl w:val="0"/>
          <w:numId w:val="5"/>
        </w:numPr>
        <w:spacing w:line="276" w:lineRule="auto"/>
        <w:jc w:val="both"/>
        <w:rPr>
          <w:rFonts w:ascii="Century Gothic" w:hAnsi="Century Gothic" w:cs="Calibri"/>
          <w:sz w:val="21"/>
          <w:szCs w:val="21"/>
        </w:rPr>
      </w:pPr>
      <w:r>
        <w:rPr>
          <w:rFonts w:ascii="Century Gothic" w:hAnsi="Century Gothic" w:cs="Calibri"/>
          <w:b/>
          <w:i/>
          <w:sz w:val="21"/>
          <w:szCs w:val="21"/>
          <w:lang w:eastAsia="pl-PL"/>
        </w:rPr>
        <w:t>usytuowanie przedsięwzięcia</w:t>
      </w:r>
      <w:r>
        <w:rPr>
          <w:rFonts w:ascii="Century Gothic" w:hAnsi="Century Gothic" w:cs="Calibri"/>
          <w:sz w:val="21"/>
          <w:szCs w:val="21"/>
          <w:lang w:eastAsia="pl-PL"/>
        </w:rPr>
        <w:t xml:space="preserve"> </w:t>
      </w:r>
      <w:r>
        <w:rPr>
          <w:rFonts w:ascii="Century Gothic" w:hAnsi="Century Gothic" w:cs="Calibri"/>
          <w:i/>
          <w:sz w:val="21"/>
          <w:szCs w:val="21"/>
          <w:lang w:eastAsia="pl-PL"/>
        </w:rPr>
        <w:t xml:space="preserve">(art. 63 ust. 1 pkt 2 ustawy </w:t>
      </w:r>
      <w:proofErr w:type="spellStart"/>
      <w:r>
        <w:rPr>
          <w:rFonts w:ascii="Century Gothic" w:hAnsi="Century Gothic" w:cs="Calibri"/>
          <w:i/>
          <w:sz w:val="21"/>
          <w:szCs w:val="21"/>
          <w:lang w:eastAsia="pl-PL"/>
        </w:rPr>
        <w:t>ooś</w:t>
      </w:r>
      <w:proofErr w:type="spellEnd"/>
      <w:r>
        <w:rPr>
          <w:rFonts w:ascii="Century Gothic" w:hAnsi="Century Gothic" w:cs="Calibri"/>
          <w:i/>
          <w:sz w:val="21"/>
          <w:szCs w:val="21"/>
          <w:lang w:eastAsia="pl-PL"/>
        </w:rPr>
        <w:t>)</w:t>
      </w:r>
      <w:r>
        <w:rPr>
          <w:rFonts w:ascii="Century Gothic" w:hAnsi="Century Gothic" w:cs="Calibri"/>
          <w:sz w:val="21"/>
          <w:szCs w:val="21"/>
          <w:lang w:eastAsia="pl-PL"/>
        </w:rPr>
        <w:t xml:space="preserve"> – planowane przedsięwzięcie usytuowane będzie</w:t>
      </w:r>
      <w:r>
        <w:rPr>
          <w:rFonts w:ascii="Century Gothic" w:hAnsi="Century Gothic" w:cs="Calibri"/>
          <w:bCs/>
          <w:sz w:val="21"/>
          <w:szCs w:val="21"/>
          <w:lang w:eastAsia="pl-PL"/>
        </w:rPr>
        <w:t xml:space="preserve"> </w:t>
      </w:r>
      <w:r>
        <w:rPr>
          <w:rFonts w:ascii="Century Gothic" w:hAnsi="Century Gothic" w:cs="Calibri"/>
          <w:bCs/>
          <w:sz w:val="21"/>
          <w:szCs w:val="21"/>
        </w:rPr>
        <w:t>w miejscowości Modliszewo, Gmina Gniezno, działka nr 1/4</w:t>
      </w:r>
      <w:r>
        <w:rPr>
          <w:rFonts w:ascii="Century Gothic" w:hAnsi="Century Gothic"/>
          <w:bCs/>
          <w:sz w:val="21"/>
          <w:szCs w:val="21"/>
        </w:rPr>
        <w:t>.</w:t>
      </w:r>
    </w:p>
    <w:p w14:paraId="44F7FCE0" w14:textId="77777777" w:rsidR="003B31BB" w:rsidRDefault="003B31BB" w:rsidP="003B31BB">
      <w:pPr>
        <w:pStyle w:val="Bezodstpw1"/>
        <w:spacing w:line="276" w:lineRule="auto"/>
        <w:ind w:left="720"/>
        <w:jc w:val="both"/>
        <w:rPr>
          <w:rFonts w:ascii="Century Gothic" w:hAnsi="Century Gothic" w:cs="Calibri"/>
          <w:sz w:val="21"/>
          <w:szCs w:val="21"/>
        </w:rPr>
      </w:pPr>
      <w:r>
        <w:rPr>
          <w:rFonts w:ascii="Century Gothic" w:hAnsi="Century Gothic" w:cs="Arial"/>
          <w:bCs/>
          <w:spacing w:val="-2"/>
          <w:sz w:val="21"/>
          <w:szCs w:val="21"/>
          <w:lang w:eastAsia="ar-SA"/>
        </w:rPr>
        <w:t>Analiza dokumentacji wykazała, że inwestycja zostanie zrealizowana na terenie aktualnie użytkowanym rolniczo</w:t>
      </w:r>
      <w:r>
        <w:rPr>
          <w:rFonts w:ascii="Century Gothic" w:hAnsi="Century Gothic" w:cs="Calibri"/>
          <w:sz w:val="21"/>
          <w:szCs w:val="21"/>
          <w:lang w:eastAsia="pl-PL"/>
        </w:rPr>
        <w:t xml:space="preserve">. </w:t>
      </w:r>
    </w:p>
    <w:p w14:paraId="78ACFD48"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bCs/>
          <w:sz w:val="21"/>
          <w:szCs w:val="21"/>
        </w:rPr>
        <w:t>Planowane przedsięwzięcie nie będzie zlokalizowane na obszarach wodno-błotnych oraz innych obszarach o płytkim zaleganiu wód podziemnych. Przedsięwzięcie nie będzie również zlokalizowane na obszarze stref ochronnych ujęć wód. Ponadto, przedsięwzięcie nie będzie zlokalizowane na obszarach o krajobrazie mającym znaczenie historyczne, kulturowe oraz archeologiczne. Nie będzie także zlokalizowane na obszarach wybrzeży i środowiska morskiego, obszarach górskich i leśnych, a także na obszarach o dużej gęstości zaludnienia. Nie przewiduje się ponadto przekroczenia standardów jakości środowiska na przedmiotowym obszarze w związku z realizacją przedsięwzięcia.</w:t>
      </w:r>
    </w:p>
    <w:p w14:paraId="1F7DA02E" w14:textId="77777777" w:rsidR="003B31BB" w:rsidRDefault="003B31BB" w:rsidP="003B31BB">
      <w:pPr>
        <w:spacing w:after="0" w:line="276" w:lineRule="auto"/>
        <w:ind w:left="720"/>
        <w:jc w:val="both"/>
        <w:rPr>
          <w:rFonts w:ascii="Century Gothic" w:hAnsi="Century Gothic" w:cs="Arial"/>
          <w:bCs/>
          <w:sz w:val="21"/>
          <w:szCs w:val="21"/>
        </w:rPr>
      </w:pPr>
      <w:r>
        <w:rPr>
          <w:rFonts w:ascii="Century Gothic" w:hAnsi="Century Gothic" w:cs="Arial"/>
          <w:sz w:val="21"/>
          <w:szCs w:val="21"/>
        </w:rPr>
        <w:t xml:space="preserve">Teren przeznaczony pod przedsięwzięcie zlokalizowany jest poza obszarami chronionymi na podstawie ustawy z dnia 16 kwietnia 2004 r. o ochronie przyrody (Dz. U. z 2023 r. poz. 1336 ze zm.). Najbliżej położonym obszarem Natura 2000 jest specjalny obszar ochrony siedlisk Pojezierze Gnieźnieńskie PLH300026, oddalony o 10,3 km od przedsięwzięcia. Mając na względzie lokalizację planowanego przedsięwzięcia poza obszarami chronionymi,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krajobraz, korytarze ekologiczne i funkcję ekosystemu. </w:t>
      </w:r>
    </w:p>
    <w:p w14:paraId="3176C347" w14:textId="77777777" w:rsidR="003B31BB" w:rsidRDefault="003B31BB" w:rsidP="003B31BB">
      <w:pPr>
        <w:spacing w:after="0" w:line="276" w:lineRule="auto"/>
        <w:ind w:left="720"/>
        <w:jc w:val="both"/>
        <w:rPr>
          <w:rFonts w:ascii="Century Gothic" w:hAnsi="Century Gothic"/>
          <w:sz w:val="21"/>
          <w:szCs w:val="21"/>
        </w:rPr>
      </w:pPr>
      <w:r>
        <w:rPr>
          <w:rFonts w:ascii="Century Gothic" w:hAnsi="Century Gothic" w:cs="Calibri"/>
          <w:sz w:val="21"/>
          <w:szCs w:val="21"/>
          <w:lang w:eastAsia="pl-PL"/>
        </w:rPr>
        <w:t>Planowane przedsięwzięcie zlokalizowane jest w granicach jednolitej części wód podziemnych (</w:t>
      </w:r>
      <w:proofErr w:type="spellStart"/>
      <w:r>
        <w:rPr>
          <w:rFonts w:ascii="Century Gothic" w:hAnsi="Century Gothic" w:cs="Calibri"/>
          <w:sz w:val="21"/>
          <w:szCs w:val="21"/>
          <w:lang w:eastAsia="pl-PL"/>
        </w:rPr>
        <w:t>JCWPd</w:t>
      </w:r>
      <w:proofErr w:type="spellEnd"/>
      <w:r>
        <w:rPr>
          <w:rFonts w:ascii="Century Gothic" w:hAnsi="Century Gothic" w:cs="Calibri"/>
          <w:sz w:val="21"/>
          <w:szCs w:val="21"/>
          <w:lang w:eastAsia="pl-PL"/>
        </w:rPr>
        <w:t xml:space="preserve">) o kodzie PLGW600042. Zgodnie z obowiązującym „Planem gospodarowania wodami na obszarze dorzecza Odry” /Dz. U Z 2023 r. poz. 335/ </w:t>
      </w:r>
      <w:proofErr w:type="spellStart"/>
      <w:r>
        <w:rPr>
          <w:rFonts w:ascii="Century Gothic" w:hAnsi="Century Gothic"/>
          <w:sz w:val="21"/>
          <w:szCs w:val="21"/>
        </w:rPr>
        <w:t>JCWPd</w:t>
      </w:r>
      <w:proofErr w:type="spellEnd"/>
      <w:r>
        <w:rPr>
          <w:rFonts w:ascii="Century Gothic" w:hAnsi="Century Gothic"/>
          <w:sz w:val="21"/>
          <w:szCs w:val="21"/>
        </w:rPr>
        <w:t xml:space="preserve"> o kodzie PLGW600042 charakteryzuje się dobrym stanem ilościowym oraz chemicznym. Przeznaczona jest do poboru wody na potrzeby zaopatrzenia ludności w wodę przeznaczoną do spożycia.</w:t>
      </w:r>
      <w:r>
        <w:rPr>
          <w:rFonts w:ascii="Century Gothic" w:hAnsi="Century Gothic" w:cs="Arial"/>
          <w:bCs/>
          <w:color w:val="000000"/>
          <w:sz w:val="21"/>
          <w:szCs w:val="21"/>
        </w:rPr>
        <w:t xml:space="preserve"> </w:t>
      </w:r>
      <w:r>
        <w:rPr>
          <w:rFonts w:ascii="Century Gothic" w:hAnsi="Century Gothic"/>
          <w:sz w:val="21"/>
          <w:szCs w:val="21"/>
        </w:rPr>
        <w:t xml:space="preserve">Jest ona monitorowana, a w odniesieniu do ryzyka nieosiągnięcia celów środowiskowych została uznana za niezagrożoną. Celem środowiskowym dla tej części wód jest dobry stan ilościowy i </w:t>
      </w:r>
      <w:r>
        <w:rPr>
          <w:rFonts w:ascii="Century Gothic" w:hAnsi="Century Gothic"/>
          <w:sz w:val="21"/>
          <w:szCs w:val="21"/>
        </w:rPr>
        <w:lastRenderedPageBreak/>
        <w:t xml:space="preserve">chemiczny. </w:t>
      </w:r>
      <w:r>
        <w:rPr>
          <w:rFonts w:ascii="Century Gothic" w:hAnsi="Century Gothic" w:cs="Calibri"/>
          <w:sz w:val="21"/>
          <w:szCs w:val="21"/>
          <w:lang w:eastAsia="pl-PL"/>
        </w:rPr>
        <w:t xml:space="preserve">Planowane przedsięwzięcie zlokalizowane jest w granicach jednolitej części wód </w:t>
      </w:r>
      <w:r>
        <w:rPr>
          <w:rFonts w:ascii="Century Gothic" w:hAnsi="Century Gothic"/>
          <w:sz w:val="21"/>
          <w:szCs w:val="21"/>
        </w:rPr>
        <w:t xml:space="preserve">powierzchniowych rzecznych JCWP o kodzie RW600018186339 — Wełna do </w:t>
      </w:r>
      <w:proofErr w:type="spellStart"/>
      <w:r>
        <w:rPr>
          <w:rFonts w:ascii="Century Gothic" w:hAnsi="Century Gothic"/>
          <w:sz w:val="21"/>
          <w:szCs w:val="21"/>
        </w:rPr>
        <w:t>Lutomni</w:t>
      </w:r>
      <w:proofErr w:type="spellEnd"/>
      <w:r>
        <w:rPr>
          <w:rFonts w:ascii="Century Gothic" w:hAnsi="Century Gothic"/>
          <w:sz w:val="21"/>
          <w:szCs w:val="21"/>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342E47F8" w14:textId="77777777" w:rsidR="003B31BB" w:rsidRDefault="003B31BB" w:rsidP="003B31BB">
      <w:pPr>
        <w:spacing w:after="0" w:line="276" w:lineRule="auto"/>
        <w:ind w:left="720"/>
        <w:jc w:val="both"/>
        <w:rPr>
          <w:rFonts w:ascii="Century Gothic" w:hAnsi="Century Gothic" w:cs="Arial"/>
          <w:bCs/>
          <w:color w:val="000000"/>
          <w:sz w:val="21"/>
          <w:szCs w:val="21"/>
        </w:rPr>
      </w:pPr>
      <w:r>
        <w:rPr>
          <w:rFonts w:ascii="Century Gothic" w:hAnsi="Century Gothic"/>
          <w:sz w:val="21"/>
          <w:szCs w:val="21"/>
        </w:rPr>
        <w:t xml:space="preserve">Uwzględniając charakter i skalę oddziaływania, zastosowane rozwiązania </w:t>
      </w:r>
      <w:r>
        <w:rPr>
          <w:rFonts w:ascii="Century Gothic" w:hAnsi="Century Gothic"/>
          <w:sz w:val="21"/>
          <w:szCs w:val="21"/>
        </w:rPr>
        <w:br/>
        <w:t>i technologie stwierdzono, że planowane p</w:t>
      </w:r>
      <w:r>
        <w:rPr>
          <w:rFonts w:ascii="Century Gothic" w:hAnsi="Century Gothic" w:cs="Calibri"/>
          <w:sz w:val="21"/>
          <w:szCs w:val="21"/>
          <w:lang w:eastAsia="pl-PL"/>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6E8BD261" w14:textId="77777777" w:rsidR="003B31BB" w:rsidRDefault="003B31BB" w:rsidP="003B31BB">
      <w:pPr>
        <w:pStyle w:val="Bezodstpw1"/>
        <w:numPr>
          <w:ilvl w:val="0"/>
          <w:numId w:val="5"/>
        </w:numPr>
        <w:spacing w:line="276" w:lineRule="auto"/>
        <w:jc w:val="both"/>
        <w:rPr>
          <w:rFonts w:ascii="Century Gothic" w:hAnsi="Century Gothic" w:cs="Calibri"/>
          <w:sz w:val="21"/>
          <w:szCs w:val="21"/>
          <w:lang w:eastAsia="pl-PL"/>
        </w:rPr>
      </w:pPr>
      <w:r>
        <w:rPr>
          <w:rFonts w:ascii="Century Gothic" w:hAnsi="Century Gothic" w:cs="Calibri"/>
          <w:b/>
          <w:i/>
          <w:sz w:val="21"/>
          <w:szCs w:val="21"/>
          <w:lang w:eastAsia="pl-PL"/>
        </w:rPr>
        <w:t>rodzaj i skala możliwego oddziaływania przedsięwzięcia</w:t>
      </w:r>
      <w:r>
        <w:rPr>
          <w:rFonts w:ascii="Century Gothic" w:hAnsi="Century Gothic" w:cs="Calibri"/>
          <w:sz w:val="21"/>
          <w:szCs w:val="21"/>
          <w:lang w:eastAsia="pl-PL"/>
        </w:rPr>
        <w:t xml:space="preserve"> </w:t>
      </w:r>
      <w:r>
        <w:rPr>
          <w:rFonts w:ascii="Century Gothic" w:hAnsi="Century Gothic" w:cs="Calibri"/>
          <w:i/>
          <w:sz w:val="21"/>
          <w:szCs w:val="21"/>
          <w:lang w:eastAsia="pl-PL"/>
        </w:rPr>
        <w:t xml:space="preserve">(art. 63 ust. 1 pkt 3 ustawy </w:t>
      </w:r>
      <w:proofErr w:type="spellStart"/>
      <w:r>
        <w:rPr>
          <w:rFonts w:ascii="Century Gothic" w:hAnsi="Century Gothic" w:cs="Calibri"/>
          <w:i/>
          <w:sz w:val="21"/>
          <w:szCs w:val="21"/>
          <w:lang w:eastAsia="pl-PL"/>
        </w:rPr>
        <w:t>ooś</w:t>
      </w:r>
      <w:proofErr w:type="spellEnd"/>
      <w:r>
        <w:rPr>
          <w:rFonts w:ascii="Century Gothic" w:hAnsi="Century Gothic" w:cs="Calibri"/>
          <w:i/>
          <w:sz w:val="21"/>
          <w:szCs w:val="21"/>
          <w:lang w:eastAsia="pl-PL"/>
        </w:rPr>
        <w:t>)</w:t>
      </w:r>
      <w:r>
        <w:rPr>
          <w:rFonts w:ascii="Century Gothic" w:hAnsi="Century Gothic" w:cs="Calibri"/>
          <w:sz w:val="21"/>
          <w:szCs w:val="21"/>
          <w:lang w:eastAsia="pl-PL"/>
        </w:rPr>
        <w:t>, które z racji swojego charakteru nie pociąga za sobą zagrożeń, a tym bardziej znaczących oddziaływań, ze względu na:</w:t>
      </w:r>
    </w:p>
    <w:p w14:paraId="0512B28D" w14:textId="77777777" w:rsidR="003B31BB" w:rsidRDefault="003B31BB" w:rsidP="003B31BB">
      <w:pPr>
        <w:pStyle w:val="Bezodstpw1"/>
        <w:numPr>
          <w:ilvl w:val="0"/>
          <w:numId w:val="6"/>
        </w:numPr>
        <w:spacing w:line="276" w:lineRule="auto"/>
        <w:jc w:val="both"/>
        <w:rPr>
          <w:rFonts w:ascii="Century Gothic" w:hAnsi="Century Gothic" w:cs="Calibri"/>
          <w:sz w:val="21"/>
          <w:szCs w:val="21"/>
          <w:lang w:eastAsia="pl-PL"/>
        </w:rPr>
      </w:pPr>
      <w:r>
        <w:rPr>
          <w:rFonts w:ascii="Century Gothic" w:hAnsi="Century Gothic" w:cs="Calibri"/>
          <w:sz w:val="21"/>
          <w:szCs w:val="21"/>
          <w:lang w:eastAsia="pl-PL"/>
        </w:rPr>
        <w:t>zasięg, wielkość i złożoność oddziaływania,  jego  prawdopodobieństwo,  czas  trwania, częstotliwość i odwracalność, możliwości ograniczenia oddziaływania,</w:t>
      </w:r>
    </w:p>
    <w:p w14:paraId="3958807F" w14:textId="77777777" w:rsidR="003B31BB" w:rsidRDefault="003B31BB" w:rsidP="003B31BB">
      <w:pPr>
        <w:pStyle w:val="Bezodstpw1"/>
        <w:numPr>
          <w:ilvl w:val="0"/>
          <w:numId w:val="6"/>
        </w:numPr>
        <w:spacing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brak transgranicznego oddziaływania, </w:t>
      </w:r>
    </w:p>
    <w:p w14:paraId="13466799" w14:textId="77777777" w:rsidR="003B31BB" w:rsidRDefault="003B31BB" w:rsidP="003B31BB">
      <w:pPr>
        <w:shd w:val="clear" w:color="auto" w:fill="FFFFFF"/>
        <w:spacing w:after="0" w:line="276" w:lineRule="auto"/>
        <w:jc w:val="both"/>
        <w:rPr>
          <w:rFonts w:ascii="Century Gothic" w:hAnsi="Century Gothic" w:cs="Calibri"/>
          <w:sz w:val="21"/>
          <w:szCs w:val="21"/>
        </w:rPr>
      </w:pPr>
      <w:r>
        <w:rPr>
          <w:rFonts w:ascii="Century Gothic" w:hAnsi="Century Gothic" w:cs="Calibri"/>
          <w:sz w:val="21"/>
          <w:szCs w:val="21"/>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0F011BCC" w14:textId="77777777" w:rsidR="003B31BB" w:rsidRDefault="003B31BB" w:rsidP="003B31BB">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9. Dla terenu (działka nr 1/4 położona w miejscowości Modliszewo), na którym ma być zlokalizowane przedsięwzięcie nie istnieje uchwalony miejscowy plan zagospodarowania przestrzennego.</w:t>
      </w:r>
    </w:p>
    <w:p w14:paraId="389411F7" w14:textId="77777777" w:rsidR="003B31BB" w:rsidRDefault="003B31BB" w:rsidP="003B31BB">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10.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2381F4B1" w14:textId="77777777" w:rsidR="003B31BB" w:rsidRDefault="003B31BB" w:rsidP="003B31BB">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11.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hAnsi="Century Gothic" w:cs="Calibri"/>
          <w:sz w:val="21"/>
          <w:szCs w:val="21"/>
          <w:lang w:eastAsia="pl-PL"/>
        </w:rPr>
        <w:br/>
        <w:t>o środowiskowych uwarunkowaniach i skierowane do organu właściwego do ich rozpatrzenia.</w:t>
      </w:r>
    </w:p>
    <w:p w14:paraId="4B94FA79" w14:textId="77777777" w:rsidR="003B31BB" w:rsidRDefault="003B31BB" w:rsidP="003B31BB">
      <w:pPr>
        <w:spacing w:after="120" w:line="240" w:lineRule="auto"/>
        <w:jc w:val="center"/>
        <w:rPr>
          <w:rFonts w:ascii="Century Gothic" w:hAnsi="Century Gothic"/>
          <w:b/>
          <w:bCs/>
          <w:sz w:val="20"/>
          <w:szCs w:val="21"/>
          <w:lang w:eastAsia="pl-PL"/>
        </w:rPr>
      </w:pPr>
      <w:r>
        <w:rPr>
          <w:rFonts w:ascii="Century Gothic" w:hAnsi="Century Gothic"/>
          <w:b/>
          <w:bCs/>
          <w:sz w:val="20"/>
          <w:szCs w:val="21"/>
          <w:lang w:eastAsia="pl-PL"/>
        </w:rPr>
        <w:t>Pouczenie</w:t>
      </w:r>
    </w:p>
    <w:p w14:paraId="2D59DB6F"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rPr>
        <w:t>Od niniejszej decyzji przysługuje stronom odwołanie do Samorządowego Kolegium Odwoławczego w Poznaniu za pośrednictwem Wójta Gminy Gniezno w terminie 14 dni od dnia doręczenia niniejszej decyzji.</w:t>
      </w:r>
    </w:p>
    <w:p w14:paraId="6B44053E"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lang w:eastAsia="ar-SA"/>
        </w:rPr>
        <w:t xml:space="preserve">Przed upływem terminu do wniesienia odwołania strona może zrzec się prawa do wniesienia odwołania </w:t>
      </w:r>
      <w:r>
        <w:rPr>
          <w:rFonts w:ascii="Century Gothic" w:hAnsi="Century Gothic"/>
          <w:sz w:val="20"/>
          <w:szCs w:val="21"/>
        </w:rPr>
        <w:t xml:space="preserve">wobec organu administracji publicznej, który wydał decyzję </w:t>
      </w:r>
      <w:r>
        <w:rPr>
          <w:rFonts w:ascii="Century Gothic" w:hAnsi="Century Gothic"/>
          <w:sz w:val="20"/>
          <w:szCs w:val="21"/>
          <w:lang w:eastAsia="ar-SA"/>
        </w:rPr>
        <w:t xml:space="preserve">- art. 127 a </w:t>
      </w:r>
      <w:r>
        <w:rPr>
          <w:rFonts w:ascii="Century Gothic" w:hAnsi="Century Gothic"/>
          <w:sz w:val="20"/>
          <w:szCs w:val="21"/>
        </w:rPr>
        <w:t>§ 1 k.p.a.</w:t>
      </w:r>
    </w:p>
    <w:p w14:paraId="2B8A0626"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rPr>
        <w:lastRenderedPageBreak/>
        <w:t>Z dniem doręczenia organowi administracji publicznej oświadczenia o zrzeczeniu się prawa do wniesienia odwołania przez ostatnią ze stron postępowania, decyzja staje się ostateczna i prawomocna.</w:t>
      </w:r>
    </w:p>
    <w:p w14:paraId="691AA590"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rPr>
        <w:t xml:space="preserve">W przypadku wymienionym w pkt. 2 i 3 odwołanie służyć nie będzie i decyzja stanie się ostateczna i prawomocna z dniem doręczenia organowi oświadczenia o zrzeczeniu się prawa do odwołania -  </w:t>
      </w:r>
      <w:r>
        <w:rPr>
          <w:rFonts w:ascii="Century Gothic" w:hAnsi="Century Gothic"/>
          <w:sz w:val="20"/>
          <w:szCs w:val="21"/>
          <w:lang w:eastAsia="ar-SA"/>
        </w:rPr>
        <w:t xml:space="preserve">art. 107 </w:t>
      </w:r>
      <w:r>
        <w:rPr>
          <w:rFonts w:ascii="Century Gothic" w:hAnsi="Century Gothic"/>
          <w:sz w:val="20"/>
          <w:szCs w:val="21"/>
        </w:rPr>
        <w:t>§ 1 pkt. 7 k.p.a.</w:t>
      </w:r>
    </w:p>
    <w:p w14:paraId="3E4E6346"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rPr>
        <w:t xml:space="preserve">Decyzja podlega wykonaniu przed upływem terminu do wniesienia odwołania, jeżeli jest zgodna z żądaniem wszystkich stron lub jeżeli wszystkie strony zrzekły się prawa do wniesienia odwołania. -  </w:t>
      </w:r>
      <w:r>
        <w:rPr>
          <w:rFonts w:ascii="Century Gothic" w:hAnsi="Century Gothic"/>
          <w:sz w:val="20"/>
          <w:szCs w:val="21"/>
          <w:lang w:eastAsia="ar-SA"/>
        </w:rPr>
        <w:t xml:space="preserve">art. 130 </w:t>
      </w:r>
      <w:r>
        <w:rPr>
          <w:rFonts w:ascii="Century Gothic" w:hAnsi="Century Gothic"/>
          <w:sz w:val="20"/>
          <w:szCs w:val="21"/>
        </w:rPr>
        <w:t>§ 4 k.p.a.</w:t>
      </w:r>
    </w:p>
    <w:p w14:paraId="604345BA"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lang w:eastAsia="pl-PL"/>
        </w:rPr>
        <w:t>Decyzję o środowiskowych uwarunkowaniach dołącza się do wniosku o wydanie decyzji, o której mowa w art. 72 ust. 1 oraz zgłoszenia</w:t>
      </w:r>
      <w:r>
        <w:rPr>
          <w:rFonts w:ascii="Century Gothic" w:hAnsi="Century Gothic"/>
          <w:bCs/>
          <w:sz w:val="20"/>
          <w:szCs w:val="21"/>
          <w:lang w:eastAsia="pl-PL"/>
        </w:rPr>
        <w:t>, o którym mowa w ust. 1a</w:t>
      </w:r>
      <w:r>
        <w:rPr>
          <w:rFonts w:ascii="Century Gothic" w:hAnsi="Century Gothic"/>
          <w:sz w:val="20"/>
          <w:szCs w:val="21"/>
          <w:lang w:eastAsia="pl-PL"/>
        </w:rPr>
        <w:t xml:space="preserve"> ustawy z dnia 3 października 2008 roku o udostępnianiu informacji o środowisku i jego ochronie, udziale społeczeństwa w ochronie środowiska oraz o ocenach oddziaływania na środowisko; </w:t>
      </w:r>
    </w:p>
    <w:p w14:paraId="0FD6CD7C" w14:textId="77777777" w:rsidR="003B31BB" w:rsidRDefault="003B31BB" w:rsidP="003B31BB">
      <w:pPr>
        <w:numPr>
          <w:ilvl w:val="0"/>
          <w:numId w:val="7"/>
        </w:numPr>
        <w:tabs>
          <w:tab w:val="left" w:pos="426"/>
        </w:tabs>
        <w:spacing w:after="0" w:line="240" w:lineRule="auto"/>
        <w:jc w:val="both"/>
        <w:rPr>
          <w:rFonts w:ascii="Century Gothic" w:hAnsi="Century Gothic"/>
          <w:sz w:val="20"/>
          <w:szCs w:val="21"/>
        </w:rPr>
      </w:pPr>
      <w:r>
        <w:rPr>
          <w:rFonts w:ascii="Century Gothic" w:hAnsi="Century Gothic"/>
          <w:sz w:val="20"/>
          <w:szCs w:val="21"/>
          <w:lang w:eastAsia="pl-PL"/>
        </w:rPr>
        <w:t>Za niniejszą decyzję administracyjną pobrano opłatę skarbową w wysokości 205 zł zgodnie z częścią I, pkt. 45  załącznika do ustawy z dnia 16 listopada 2006 r. o opłacie skarbowej /Dz. U. z 2023 r., poz. 2111./.</w:t>
      </w:r>
    </w:p>
    <w:p w14:paraId="3E95CA84" w14:textId="77777777" w:rsidR="003B31BB" w:rsidRDefault="003B31BB" w:rsidP="003B31BB">
      <w:pPr>
        <w:spacing w:after="0" w:line="276" w:lineRule="auto"/>
        <w:rPr>
          <w:rFonts w:ascii="Century Gothic" w:hAnsi="Century Gothic"/>
          <w:b/>
          <w:bCs/>
          <w:sz w:val="18"/>
          <w:szCs w:val="21"/>
          <w:u w:val="single"/>
        </w:rPr>
      </w:pPr>
    </w:p>
    <w:p w14:paraId="1386F3D6" w14:textId="77777777" w:rsidR="003B31BB" w:rsidRDefault="003B31BB" w:rsidP="003B31BB">
      <w:pPr>
        <w:spacing w:after="0" w:line="276" w:lineRule="auto"/>
        <w:rPr>
          <w:rFonts w:ascii="Century Gothic" w:hAnsi="Century Gothic"/>
          <w:b/>
          <w:bCs/>
          <w:sz w:val="18"/>
          <w:szCs w:val="21"/>
          <w:u w:val="single"/>
        </w:rPr>
      </w:pPr>
    </w:p>
    <w:p w14:paraId="3B450FF7" w14:textId="77777777" w:rsidR="003B31BB" w:rsidRDefault="003B31BB" w:rsidP="003B31BB">
      <w:pPr>
        <w:spacing w:after="0" w:line="276" w:lineRule="auto"/>
        <w:rPr>
          <w:rFonts w:ascii="Century Gothic" w:hAnsi="Century Gothic"/>
          <w:b/>
          <w:bCs/>
          <w:sz w:val="18"/>
          <w:szCs w:val="21"/>
          <w:u w:val="single"/>
        </w:rPr>
      </w:pPr>
    </w:p>
    <w:p w14:paraId="63824B8C" w14:textId="77777777" w:rsidR="003B31BB" w:rsidRDefault="003B31BB" w:rsidP="003B31BB">
      <w:pPr>
        <w:spacing w:after="0" w:line="276" w:lineRule="auto"/>
        <w:rPr>
          <w:rFonts w:ascii="Century Gothic" w:hAnsi="Century Gothic"/>
          <w:b/>
          <w:bCs/>
          <w:sz w:val="18"/>
          <w:szCs w:val="21"/>
          <w:u w:val="single"/>
        </w:rPr>
      </w:pPr>
    </w:p>
    <w:p w14:paraId="18992B61" w14:textId="77777777" w:rsidR="003B31BB" w:rsidRDefault="003B31BB" w:rsidP="003B31BB">
      <w:pPr>
        <w:spacing w:after="0" w:line="276" w:lineRule="auto"/>
        <w:rPr>
          <w:rFonts w:ascii="Century Gothic" w:hAnsi="Century Gothic"/>
          <w:b/>
          <w:bCs/>
          <w:sz w:val="18"/>
          <w:szCs w:val="21"/>
          <w:u w:val="single"/>
        </w:rPr>
      </w:pPr>
    </w:p>
    <w:p w14:paraId="4721E2D5" w14:textId="77777777" w:rsidR="003B31BB" w:rsidRDefault="003B31BB" w:rsidP="003B31BB">
      <w:pPr>
        <w:spacing w:after="0" w:line="276" w:lineRule="auto"/>
        <w:rPr>
          <w:rFonts w:ascii="Century Gothic" w:hAnsi="Century Gothic"/>
          <w:b/>
          <w:bCs/>
          <w:sz w:val="18"/>
          <w:szCs w:val="21"/>
          <w:u w:val="single"/>
        </w:rPr>
      </w:pPr>
    </w:p>
    <w:p w14:paraId="7A07E0DD" w14:textId="77777777" w:rsidR="003B31BB" w:rsidRDefault="003B31BB" w:rsidP="003B31BB">
      <w:pPr>
        <w:spacing w:after="0" w:line="276" w:lineRule="auto"/>
        <w:rPr>
          <w:rFonts w:ascii="Century Gothic" w:hAnsi="Century Gothic"/>
          <w:b/>
          <w:bCs/>
          <w:sz w:val="18"/>
          <w:szCs w:val="21"/>
          <w:u w:val="single"/>
        </w:rPr>
      </w:pPr>
    </w:p>
    <w:p w14:paraId="1B4A762C" w14:textId="77777777" w:rsidR="003B31BB" w:rsidRDefault="003B31BB" w:rsidP="003B31BB">
      <w:pPr>
        <w:spacing w:after="0" w:line="276" w:lineRule="auto"/>
        <w:rPr>
          <w:rFonts w:ascii="Century Gothic" w:hAnsi="Century Gothic"/>
          <w:b/>
          <w:bCs/>
          <w:sz w:val="18"/>
          <w:szCs w:val="21"/>
          <w:u w:val="single"/>
        </w:rPr>
      </w:pPr>
    </w:p>
    <w:p w14:paraId="12A44171" w14:textId="77777777" w:rsidR="003B31BB" w:rsidRDefault="003B31BB" w:rsidP="003B31BB">
      <w:pPr>
        <w:spacing w:after="0" w:line="276" w:lineRule="auto"/>
        <w:rPr>
          <w:rFonts w:ascii="Century Gothic" w:hAnsi="Century Gothic"/>
          <w:b/>
          <w:bCs/>
          <w:sz w:val="18"/>
          <w:szCs w:val="21"/>
          <w:u w:val="single"/>
        </w:rPr>
      </w:pPr>
    </w:p>
    <w:p w14:paraId="426F3C28" w14:textId="77777777" w:rsidR="003B31BB" w:rsidRDefault="003B31BB" w:rsidP="003B31BB">
      <w:pPr>
        <w:spacing w:after="0" w:line="276" w:lineRule="auto"/>
        <w:rPr>
          <w:rFonts w:ascii="Century Gothic" w:hAnsi="Century Gothic"/>
          <w:b/>
          <w:bCs/>
          <w:sz w:val="18"/>
          <w:szCs w:val="21"/>
          <w:u w:val="single"/>
        </w:rPr>
      </w:pPr>
    </w:p>
    <w:p w14:paraId="40639589" w14:textId="77777777" w:rsidR="003B31BB" w:rsidRDefault="003B31BB" w:rsidP="003B31BB">
      <w:pPr>
        <w:spacing w:after="0" w:line="276" w:lineRule="auto"/>
        <w:rPr>
          <w:rFonts w:ascii="Century Gothic" w:hAnsi="Century Gothic"/>
          <w:b/>
          <w:bCs/>
          <w:sz w:val="18"/>
          <w:szCs w:val="21"/>
          <w:u w:val="single"/>
        </w:rPr>
      </w:pPr>
    </w:p>
    <w:p w14:paraId="476C7BCA" w14:textId="77777777" w:rsidR="003B31BB" w:rsidRDefault="003B31BB" w:rsidP="003B31BB">
      <w:pPr>
        <w:spacing w:after="0" w:line="276" w:lineRule="auto"/>
        <w:rPr>
          <w:rFonts w:ascii="Century Gothic" w:hAnsi="Century Gothic"/>
          <w:b/>
          <w:bCs/>
          <w:sz w:val="16"/>
          <w:szCs w:val="16"/>
          <w:u w:val="single"/>
        </w:rPr>
      </w:pPr>
      <w:r>
        <w:rPr>
          <w:rFonts w:ascii="Century Gothic" w:hAnsi="Century Gothic"/>
          <w:b/>
          <w:bCs/>
          <w:sz w:val="16"/>
          <w:szCs w:val="16"/>
          <w:u w:val="single"/>
        </w:rPr>
        <w:t>Otrzymują:</w:t>
      </w:r>
    </w:p>
    <w:p w14:paraId="27D5D81D" w14:textId="77777777" w:rsidR="003B31BB" w:rsidRDefault="003B31BB" w:rsidP="003B31BB">
      <w:pPr>
        <w:numPr>
          <w:ilvl w:val="0"/>
          <w:numId w:val="8"/>
        </w:numPr>
        <w:shd w:val="clear" w:color="auto" w:fill="FFFFFF"/>
        <w:spacing w:after="0" w:line="276" w:lineRule="auto"/>
        <w:jc w:val="both"/>
        <w:rPr>
          <w:rFonts w:ascii="Century Gothic" w:hAnsi="Century Gothic"/>
          <w:sz w:val="16"/>
          <w:szCs w:val="16"/>
        </w:rPr>
      </w:pPr>
      <w:r>
        <w:rPr>
          <w:rFonts w:ascii="Century Gothic" w:hAnsi="Century Gothic"/>
          <w:sz w:val="16"/>
          <w:szCs w:val="16"/>
        </w:rPr>
        <w:t xml:space="preserve">Strony postępowania administracyjnego wg rozdzielnika </w:t>
      </w:r>
    </w:p>
    <w:p w14:paraId="51D0A14F" w14:textId="77777777" w:rsidR="003B31BB" w:rsidRDefault="003B31BB" w:rsidP="003B31BB">
      <w:pPr>
        <w:numPr>
          <w:ilvl w:val="0"/>
          <w:numId w:val="8"/>
        </w:numPr>
        <w:shd w:val="clear" w:color="auto" w:fill="FFFFFF"/>
        <w:spacing w:after="0" w:line="276" w:lineRule="auto"/>
        <w:jc w:val="both"/>
        <w:rPr>
          <w:rFonts w:ascii="Century Gothic" w:hAnsi="Century Gothic"/>
          <w:sz w:val="16"/>
          <w:szCs w:val="16"/>
        </w:rPr>
      </w:pPr>
      <w:r>
        <w:rPr>
          <w:rFonts w:ascii="Century Gothic" w:hAnsi="Century Gothic"/>
          <w:sz w:val="16"/>
          <w:szCs w:val="16"/>
        </w:rPr>
        <w:t>a/a (sprawę prowadzi Rafał Skweres – tel. 61 424 57 66)</w:t>
      </w:r>
    </w:p>
    <w:p w14:paraId="4BC92632" w14:textId="77777777" w:rsidR="003B31BB" w:rsidRDefault="003B31BB" w:rsidP="003B31BB">
      <w:pPr>
        <w:shd w:val="clear" w:color="auto" w:fill="FFFFFF"/>
        <w:spacing w:after="0" w:line="276" w:lineRule="auto"/>
        <w:jc w:val="both"/>
        <w:rPr>
          <w:rFonts w:ascii="Century Gothic" w:hAnsi="Century Gothic"/>
          <w:sz w:val="16"/>
          <w:szCs w:val="16"/>
          <w:u w:val="single"/>
        </w:rPr>
      </w:pPr>
    </w:p>
    <w:p w14:paraId="7ECB257A" w14:textId="77777777" w:rsidR="003B31BB" w:rsidRDefault="003B31BB" w:rsidP="003B31BB">
      <w:pPr>
        <w:spacing w:after="0" w:line="276" w:lineRule="auto"/>
        <w:rPr>
          <w:rFonts w:ascii="Century Gothic" w:hAnsi="Century Gothic"/>
          <w:b/>
          <w:bCs/>
          <w:sz w:val="16"/>
          <w:szCs w:val="16"/>
          <w:u w:val="single"/>
        </w:rPr>
      </w:pPr>
      <w:r>
        <w:rPr>
          <w:rFonts w:ascii="Century Gothic" w:hAnsi="Century Gothic"/>
          <w:b/>
          <w:bCs/>
          <w:sz w:val="16"/>
          <w:szCs w:val="16"/>
          <w:u w:val="single"/>
        </w:rPr>
        <w:t>Do wiadomości:</w:t>
      </w:r>
    </w:p>
    <w:p w14:paraId="5269A6F1" w14:textId="77777777" w:rsidR="003B31BB" w:rsidRDefault="003B31BB" w:rsidP="003B31BB">
      <w:pPr>
        <w:numPr>
          <w:ilvl w:val="0"/>
          <w:numId w:val="9"/>
        </w:numPr>
        <w:spacing w:after="0" w:line="276" w:lineRule="auto"/>
        <w:jc w:val="both"/>
        <w:rPr>
          <w:rFonts w:ascii="Century Gothic" w:hAnsi="Century Gothic"/>
          <w:sz w:val="16"/>
          <w:szCs w:val="16"/>
          <w:lang w:eastAsia="pl-PL"/>
        </w:rPr>
      </w:pPr>
      <w:r>
        <w:rPr>
          <w:rFonts w:ascii="Century Gothic" w:hAnsi="Century Gothic"/>
          <w:sz w:val="16"/>
          <w:szCs w:val="16"/>
          <w:lang w:eastAsia="pl-PL"/>
        </w:rPr>
        <w:t>Regionalny Dyrektor Ochrony Środowiska w Poznaniu, ul. Kościuszki 57, 61-891 Poznań</w:t>
      </w:r>
    </w:p>
    <w:p w14:paraId="3A363B80" w14:textId="77777777" w:rsidR="003B31BB" w:rsidRDefault="003B31BB" w:rsidP="003B31BB">
      <w:pPr>
        <w:numPr>
          <w:ilvl w:val="0"/>
          <w:numId w:val="9"/>
        </w:numPr>
        <w:spacing w:after="0" w:line="276" w:lineRule="auto"/>
        <w:jc w:val="both"/>
        <w:rPr>
          <w:rFonts w:ascii="Century Gothic" w:hAnsi="Century Gothic"/>
          <w:sz w:val="16"/>
          <w:szCs w:val="16"/>
          <w:lang w:eastAsia="pl-PL"/>
        </w:rPr>
      </w:pPr>
      <w:r>
        <w:rPr>
          <w:rFonts w:ascii="Century Gothic" w:hAnsi="Century Gothic"/>
          <w:sz w:val="16"/>
          <w:szCs w:val="16"/>
          <w:lang w:eastAsia="pl-PL"/>
        </w:rPr>
        <w:t>Państwowy Powiatowy Inspektor Sanitarny w Gnieźnie, ul. Św. Wawrzyńca 18, 62-200 Gniezno</w:t>
      </w:r>
    </w:p>
    <w:p w14:paraId="4D957012" w14:textId="77777777" w:rsidR="003B31BB" w:rsidRDefault="003B31BB" w:rsidP="003B31BB">
      <w:pPr>
        <w:numPr>
          <w:ilvl w:val="0"/>
          <w:numId w:val="9"/>
        </w:numPr>
        <w:spacing w:after="0" w:line="276" w:lineRule="auto"/>
        <w:jc w:val="both"/>
        <w:rPr>
          <w:rFonts w:ascii="Century Gothic" w:hAnsi="Century Gothic"/>
          <w:sz w:val="16"/>
          <w:szCs w:val="16"/>
        </w:rPr>
      </w:pPr>
      <w:r>
        <w:rPr>
          <w:rFonts w:ascii="Century Gothic" w:hAnsi="Century Gothic"/>
          <w:sz w:val="16"/>
          <w:szCs w:val="16"/>
          <w:lang w:eastAsia="pl-PL"/>
        </w:rPr>
        <w:t>Dyrektor Zarządu Zlewni Wód Polskich w Poznaniu, ul. Szewska 1, 61-760 Poznań</w:t>
      </w:r>
    </w:p>
    <w:p w14:paraId="78F942D2" w14:textId="77777777" w:rsidR="003B31BB" w:rsidRDefault="003B31BB" w:rsidP="003B31BB">
      <w:pPr>
        <w:spacing w:after="0" w:line="276" w:lineRule="auto"/>
        <w:jc w:val="both"/>
        <w:rPr>
          <w:rFonts w:ascii="Century Gothic" w:hAnsi="Century Gothic"/>
          <w:sz w:val="21"/>
          <w:szCs w:val="21"/>
        </w:rPr>
      </w:pPr>
    </w:p>
    <w:p w14:paraId="0D855BCB" w14:textId="77777777" w:rsidR="003B31BB" w:rsidRDefault="003B31BB" w:rsidP="003B31BB">
      <w:pPr>
        <w:spacing w:after="0" w:line="240" w:lineRule="auto"/>
        <w:jc w:val="both"/>
        <w:rPr>
          <w:rFonts w:ascii="Century Gothic" w:hAnsi="Century Gothic"/>
          <w:b/>
          <w:bCs/>
          <w:sz w:val="16"/>
          <w:szCs w:val="21"/>
        </w:rPr>
      </w:pPr>
      <w:r>
        <w:rPr>
          <w:rFonts w:ascii="Century Gothic" w:hAnsi="Century Gothic"/>
          <w:b/>
          <w:bCs/>
          <w:sz w:val="16"/>
          <w:szCs w:val="21"/>
        </w:rPr>
        <w:t xml:space="preserve">Uwaga: </w:t>
      </w:r>
    </w:p>
    <w:p w14:paraId="501F24A1" w14:textId="77777777" w:rsidR="003B31BB" w:rsidRDefault="003B31BB" w:rsidP="003B31BB">
      <w:pPr>
        <w:spacing w:line="240" w:lineRule="auto"/>
        <w:jc w:val="both"/>
        <w:rPr>
          <w:rFonts w:ascii="Century Gothic" w:hAnsi="Century Gothic"/>
          <w:b/>
          <w:bCs/>
          <w:sz w:val="16"/>
          <w:szCs w:val="21"/>
        </w:rPr>
      </w:pPr>
      <w:r>
        <w:rPr>
          <w:rFonts w:ascii="Century Gothic" w:hAnsi="Century Gothic"/>
          <w:sz w:val="16"/>
          <w:szCs w:val="21"/>
        </w:rPr>
        <w:tab/>
        <w:t xml:space="preserve">Ponieważ w powyższej sprawie liczba stron postępowania przekracza 10, zgodnie z art. 74 ust.3 ustawy </w:t>
      </w:r>
      <w:r>
        <w:rPr>
          <w:rFonts w:ascii="Century Gothic" w:hAnsi="Century Gothic"/>
          <w:sz w:val="16"/>
          <w:szCs w:val="21"/>
        </w:rPr>
        <w:br/>
        <w:t xml:space="preserve">z dnia 3 października 2008 roku o udostępnianiu informacji o środowisku i jego ochronie, udziale społeczeństwa </w:t>
      </w:r>
      <w:r>
        <w:rPr>
          <w:rFonts w:ascii="Century Gothic" w:hAnsi="Century Gothic"/>
          <w:sz w:val="16"/>
          <w:szCs w:val="21"/>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hAnsi="Century Gothic"/>
          <w:b/>
          <w:bCs/>
          <w:sz w:val="16"/>
          <w:szCs w:val="21"/>
        </w:rPr>
        <w:t>2 kwietnia 2025 roku</w:t>
      </w:r>
    </w:p>
    <w:p w14:paraId="55CD22EE" w14:textId="77777777" w:rsidR="003B31BB" w:rsidRDefault="003B31BB" w:rsidP="003B31BB">
      <w:pPr>
        <w:spacing w:line="240" w:lineRule="auto"/>
        <w:jc w:val="both"/>
        <w:rPr>
          <w:rFonts w:ascii="Century Gothic" w:hAnsi="Century Gothic"/>
          <w:b/>
          <w:bCs/>
          <w:sz w:val="16"/>
          <w:szCs w:val="21"/>
        </w:rPr>
      </w:pPr>
    </w:p>
    <w:p w14:paraId="39C1FAA0" w14:textId="77777777" w:rsidR="003B31BB" w:rsidRDefault="003B31BB" w:rsidP="003B31BB">
      <w:pPr>
        <w:spacing w:line="240" w:lineRule="auto"/>
        <w:jc w:val="both"/>
        <w:rPr>
          <w:rFonts w:ascii="Century Gothic" w:hAnsi="Century Gothic"/>
          <w:b/>
          <w:bCs/>
          <w:sz w:val="16"/>
          <w:szCs w:val="21"/>
        </w:rPr>
      </w:pPr>
    </w:p>
    <w:p w14:paraId="61B890C2" w14:textId="77777777" w:rsidR="003B31BB" w:rsidRDefault="003B31BB" w:rsidP="003B31BB">
      <w:pPr>
        <w:spacing w:line="240" w:lineRule="auto"/>
        <w:jc w:val="both"/>
        <w:rPr>
          <w:rFonts w:ascii="Century Gothic" w:hAnsi="Century Gothic"/>
          <w:b/>
          <w:bCs/>
          <w:sz w:val="16"/>
          <w:szCs w:val="21"/>
        </w:rPr>
      </w:pPr>
    </w:p>
    <w:p w14:paraId="00964B01" w14:textId="77777777" w:rsidR="003B31BB" w:rsidRDefault="003B31BB" w:rsidP="003B31BB">
      <w:pPr>
        <w:spacing w:line="240" w:lineRule="auto"/>
        <w:jc w:val="both"/>
        <w:rPr>
          <w:rFonts w:ascii="Century Gothic" w:hAnsi="Century Gothic"/>
          <w:b/>
          <w:bCs/>
          <w:sz w:val="16"/>
          <w:szCs w:val="21"/>
        </w:rPr>
      </w:pPr>
    </w:p>
    <w:p w14:paraId="20C827C1" w14:textId="77777777" w:rsidR="003B31BB" w:rsidRDefault="003B31BB" w:rsidP="003B31BB">
      <w:pPr>
        <w:spacing w:line="240" w:lineRule="auto"/>
        <w:jc w:val="both"/>
        <w:rPr>
          <w:rFonts w:ascii="Century Gothic" w:hAnsi="Century Gothic"/>
          <w:b/>
          <w:bCs/>
          <w:sz w:val="16"/>
          <w:szCs w:val="21"/>
        </w:rPr>
      </w:pPr>
    </w:p>
    <w:p w14:paraId="39A9C80B" w14:textId="77777777" w:rsidR="003B31BB" w:rsidRDefault="003B31BB" w:rsidP="003B31BB">
      <w:pPr>
        <w:spacing w:line="240" w:lineRule="auto"/>
        <w:jc w:val="both"/>
        <w:rPr>
          <w:rFonts w:ascii="Century Gothic" w:hAnsi="Century Gothic"/>
          <w:b/>
          <w:bCs/>
          <w:sz w:val="16"/>
          <w:szCs w:val="21"/>
        </w:rPr>
      </w:pPr>
    </w:p>
    <w:p w14:paraId="416C246D" w14:textId="77777777" w:rsidR="003B31BB" w:rsidRDefault="003B31BB" w:rsidP="003B31BB">
      <w:pPr>
        <w:spacing w:after="0" w:line="480" w:lineRule="auto"/>
        <w:jc w:val="both"/>
        <w:rPr>
          <w:rFonts w:ascii="Century Gothic" w:hAnsi="Century Gothic"/>
          <w:sz w:val="18"/>
          <w:szCs w:val="18"/>
          <w:u w:val="single"/>
        </w:rPr>
      </w:pPr>
      <w:r>
        <w:rPr>
          <w:rFonts w:ascii="Century Gothic" w:hAnsi="Century Gothic"/>
          <w:sz w:val="18"/>
          <w:szCs w:val="18"/>
          <w:u w:val="single"/>
        </w:rPr>
        <w:t xml:space="preserve">Wywieszono na tablicy ogłoszeń ………………………….…………….………………………………… </w:t>
      </w:r>
      <w:r>
        <w:rPr>
          <w:rFonts w:ascii="Century Gothic" w:hAnsi="Century Gothic"/>
          <w:sz w:val="18"/>
          <w:szCs w:val="18"/>
          <w:u w:val="single"/>
        </w:rPr>
        <w:br/>
        <w:t>na okres od dnia …………….……………. do dnia  ………..…...……………..</w:t>
      </w:r>
    </w:p>
    <w:p w14:paraId="6CBE4442" w14:textId="77777777" w:rsidR="003B31BB" w:rsidRDefault="003B31BB" w:rsidP="003B31BB">
      <w:pPr>
        <w:spacing w:after="0" w:line="276" w:lineRule="auto"/>
        <w:rPr>
          <w:rFonts w:ascii="Century Gothic" w:hAnsi="Century Gothic"/>
          <w:sz w:val="18"/>
          <w:szCs w:val="18"/>
          <w:lang w:eastAsia="pl-PL"/>
        </w:rPr>
      </w:pPr>
      <w:r>
        <w:rPr>
          <w:rFonts w:ascii="Century Gothic" w:hAnsi="Century Gothic"/>
          <w:sz w:val="18"/>
          <w:szCs w:val="18"/>
          <w:lang w:eastAsia="pl-PL"/>
        </w:rPr>
        <w:t xml:space="preserve">Podpis i pieczątka </w:t>
      </w:r>
    </w:p>
    <w:p w14:paraId="5A4D8FEF" w14:textId="77777777" w:rsidR="003B31BB" w:rsidRDefault="003B31BB" w:rsidP="003B31BB">
      <w:pPr>
        <w:spacing w:after="0" w:line="276" w:lineRule="auto"/>
        <w:rPr>
          <w:rFonts w:ascii="Century Gothic" w:hAnsi="Century Gothic"/>
          <w:sz w:val="20"/>
          <w:szCs w:val="21"/>
          <w:lang w:eastAsia="pl-PL"/>
        </w:rPr>
        <w:sectPr w:rsidR="003B31BB" w:rsidSect="003B31BB">
          <w:pgSz w:w="11906" w:h="16838"/>
          <w:pgMar w:top="1134" w:right="1417" w:bottom="1417" w:left="1417" w:header="708" w:footer="708" w:gutter="0"/>
          <w:cols w:space="708"/>
        </w:sectPr>
      </w:pPr>
    </w:p>
    <w:p w14:paraId="6C97BCAE" w14:textId="77777777" w:rsidR="003B31BB" w:rsidRDefault="003B31BB" w:rsidP="003B31BB">
      <w:pPr>
        <w:spacing w:after="0" w:line="276" w:lineRule="auto"/>
        <w:jc w:val="center"/>
        <w:rPr>
          <w:rFonts w:ascii="Century Gothic" w:hAnsi="Century Gothic"/>
          <w:b/>
          <w:sz w:val="19"/>
          <w:szCs w:val="19"/>
          <w:lang w:eastAsia="pl-PL"/>
        </w:rPr>
      </w:pPr>
      <w:r>
        <w:rPr>
          <w:rFonts w:ascii="Century Gothic" w:hAnsi="Century Gothic"/>
          <w:b/>
          <w:sz w:val="19"/>
          <w:szCs w:val="19"/>
          <w:lang w:eastAsia="pl-PL"/>
        </w:rPr>
        <w:lastRenderedPageBreak/>
        <w:t xml:space="preserve">Załącznik do decyzji o środowiskowych uwarunkowaniach </w:t>
      </w:r>
      <w:r>
        <w:rPr>
          <w:rFonts w:ascii="Century Gothic" w:hAnsi="Century Gothic"/>
          <w:b/>
          <w:sz w:val="19"/>
          <w:szCs w:val="19"/>
          <w:lang w:eastAsia="pl-PL"/>
        </w:rPr>
        <w:br/>
        <w:t>znak OŚR.6220.8.2024 z dnia 1 kwietnia 2025 roku</w:t>
      </w:r>
    </w:p>
    <w:p w14:paraId="142E5EE4" w14:textId="77777777" w:rsidR="003B31BB" w:rsidRDefault="003B31BB" w:rsidP="003B31BB">
      <w:pPr>
        <w:spacing w:after="0" w:line="276" w:lineRule="auto"/>
        <w:rPr>
          <w:rFonts w:ascii="Century Gothic" w:hAnsi="Century Gothic"/>
          <w:sz w:val="21"/>
          <w:szCs w:val="21"/>
          <w:lang w:eastAsia="pl-PL"/>
        </w:rPr>
      </w:pPr>
    </w:p>
    <w:p w14:paraId="51FB1816" w14:textId="77777777" w:rsidR="003B31BB" w:rsidRDefault="003B31BB" w:rsidP="003B31BB">
      <w:pPr>
        <w:keepNext/>
        <w:spacing w:after="0" w:line="276" w:lineRule="auto"/>
        <w:jc w:val="center"/>
        <w:outlineLvl w:val="0"/>
        <w:rPr>
          <w:rFonts w:ascii="Century Gothic" w:hAnsi="Century Gothic"/>
          <w:b/>
          <w:bCs/>
          <w:szCs w:val="21"/>
          <w:lang w:eastAsia="pl-PL"/>
        </w:rPr>
      </w:pPr>
      <w:r>
        <w:rPr>
          <w:rFonts w:ascii="Century Gothic" w:hAnsi="Century Gothic"/>
          <w:b/>
          <w:bCs/>
          <w:szCs w:val="21"/>
          <w:lang w:eastAsia="pl-PL"/>
        </w:rPr>
        <w:t>Charakterystyka przedsięwzięcia</w:t>
      </w:r>
    </w:p>
    <w:p w14:paraId="28D7D3DE" w14:textId="77777777" w:rsidR="003B31BB" w:rsidRDefault="003B31BB" w:rsidP="003B31BB">
      <w:pPr>
        <w:keepNext/>
        <w:spacing w:after="0" w:line="276" w:lineRule="auto"/>
        <w:jc w:val="center"/>
        <w:outlineLvl w:val="0"/>
        <w:rPr>
          <w:rFonts w:ascii="Century Gothic" w:hAnsi="Century Gothic"/>
          <w:b/>
          <w:bCs/>
          <w:szCs w:val="21"/>
          <w:lang w:eastAsia="pl-PL"/>
        </w:rPr>
      </w:pPr>
    </w:p>
    <w:p w14:paraId="7AE7B73F" w14:textId="77777777" w:rsidR="003B31BB" w:rsidRDefault="003B31BB" w:rsidP="003B31BB">
      <w:pPr>
        <w:spacing w:after="120" w:line="276" w:lineRule="auto"/>
        <w:ind w:firstLine="708"/>
        <w:jc w:val="both"/>
        <w:rPr>
          <w:rFonts w:ascii="Century Gothic" w:hAnsi="Century Gothic"/>
          <w:sz w:val="21"/>
          <w:szCs w:val="21"/>
        </w:rPr>
      </w:pPr>
      <w:r>
        <w:rPr>
          <w:rFonts w:ascii="Century Gothic" w:hAnsi="Century Gothic" w:cs="Calibri"/>
          <w:sz w:val="21"/>
          <w:szCs w:val="21"/>
          <w:lang w:eastAsia="pl-PL"/>
        </w:rPr>
        <w:t>Planowane przedsięwzięcie polegać będzie</w:t>
      </w:r>
      <w:r>
        <w:rPr>
          <w:rFonts w:ascii="Century Gothic" w:hAnsi="Century Gothic" w:cs="Calibri"/>
          <w:sz w:val="21"/>
          <w:szCs w:val="21"/>
        </w:rPr>
        <w:t xml:space="preserve"> </w:t>
      </w:r>
      <w:r>
        <w:rPr>
          <w:rFonts w:ascii="Century Gothic" w:hAnsi="Century Gothic" w:cs="Arial"/>
          <w:sz w:val="21"/>
          <w:szCs w:val="21"/>
        </w:rPr>
        <w:t xml:space="preserve">na </w:t>
      </w:r>
      <w:r>
        <w:rPr>
          <w:rFonts w:ascii="Century Gothic" w:hAnsi="Century Gothic" w:cs="Calibri"/>
          <w:iCs/>
          <w:sz w:val="21"/>
          <w:szCs w:val="21"/>
        </w:rPr>
        <w:t>wykonaniu</w:t>
      </w:r>
      <w:r>
        <w:rPr>
          <w:rFonts w:ascii="Century Gothic" w:hAnsi="Century Gothic"/>
          <w:sz w:val="21"/>
          <w:szCs w:val="21"/>
        </w:rPr>
        <w:t xml:space="preserve"> urządzenia umożliwiającego pobór wód podziemnych o zdolności poboru 50 m</w:t>
      </w:r>
      <w:r>
        <w:rPr>
          <w:rFonts w:ascii="Century Gothic" w:hAnsi="Century Gothic"/>
          <w:sz w:val="21"/>
          <w:szCs w:val="21"/>
          <w:vertAlign w:val="superscript"/>
        </w:rPr>
        <w:t>3</w:t>
      </w:r>
      <w:r>
        <w:rPr>
          <w:rFonts w:ascii="Century Gothic" w:hAnsi="Century Gothic"/>
          <w:sz w:val="21"/>
          <w:szCs w:val="21"/>
        </w:rPr>
        <w:t>/h oraz gospodarowanie wodą w rolnictwie pn. melioracji na terenie działki nr 1/4 w miejscowości Modliszewo, Gmina Gniezno.</w:t>
      </w:r>
    </w:p>
    <w:p w14:paraId="266DF6A8" w14:textId="77777777" w:rsidR="003B31BB" w:rsidRDefault="003B31BB" w:rsidP="003B31BB">
      <w:pPr>
        <w:spacing w:after="120" w:line="276" w:lineRule="auto"/>
        <w:ind w:firstLine="708"/>
        <w:jc w:val="both"/>
      </w:pPr>
      <w:r>
        <w:rPr>
          <w:rFonts w:ascii="Century Gothic" w:hAnsi="Century Gothic"/>
          <w:sz w:val="21"/>
          <w:szCs w:val="21"/>
        </w:rPr>
        <w:t xml:space="preserve">Planowane ujęcie zostanie wykonane w odwierconym na głębokość 155 m p.p.t. otworze hydrogeologicznym (ujmującym mioceński poziom wodonośny), który został zrealizowany po uzyskaniu decyzji właściwego organu zatwierdzającej projekt robót geologicznych na wykonanie tego otworu. Woda z przedmiotowego ujęcia będzie wykorzystywana na potrzeby deszczowania upraw rolniczych o powierzchni ok 25 ha. Powyższy otwór hydrogeologiczny, zostanie wyposażony w pompę głębinową umożliwiającą pobór wody o wydajności maksymalnej godzinowej </w:t>
      </w:r>
      <w:proofErr w:type="spellStart"/>
      <w:r>
        <w:rPr>
          <w:rFonts w:ascii="Century Gothic" w:hAnsi="Century Gothic"/>
          <w:sz w:val="21"/>
          <w:szCs w:val="21"/>
        </w:rPr>
        <w:t>Qhmax</w:t>
      </w:r>
      <w:proofErr w:type="spellEnd"/>
      <w:r>
        <w:rPr>
          <w:rFonts w:ascii="Century Gothic" w:hAnsi="Century Gothic"/>
          <w:sz w:val="21"/>
          <w:szCs w:val="21"/>
        </w:rPr>
        <w:t xml:space="preserve"> 50 m³/h oraz w szczelną obudowę. Zużycie wody do jednorazowego podlania 1 hektara upraw wynosi 250 m³ (2,5 cm słupa wody). Nawadnianie przy użyciu deszczowni prowadzone będzie od początku kwietnia do końca września, tj. przez 183 dni w roku. W okresie tym planuje się dwunastokrotne podlanie upraw o powierzchni około 25 ha, stąd roczne zapotrzebowanie na wodę wynosi: 25 ha × 250 m³ × 12 podlań= 75 000 m³, co w odniesieniu do okresu bilansowego jakim jest rok kalendarzowy daje średnio: </w:t>
      </w:r>
      <w:proofErr w:type="spellStart"/>
      <w:r>
        <w:rPr>
          <w:rFonts w:ascii="Century Gothic" w:hAnsi="Century Gothic"/>
          <w:sz w:val="21"/>
          <w:szCs w:val="21"/>
        </w:rPr>
        <w:t>Qdśr</w:t>
      </w:r>
      <w:proofErr w:type="spellEnd"/>
      <w:r>
        <w:rPr>
          <w:rFonts w:ascii="Century Gothic" w:hAnsi="Century Gothic"/>
          <w:sz w:val="21"/>
          <w:szCs w:val="21"/>
        </w:rPr>
        <w:t xml:space="preserve"> = 205,48 m³/d, </w:t>
      </w:r>
      <w:proofErr w:type="spellStart"/>
      <w:r>
        <w:rPr>
          <w:rFonts w:ascii="Century Gothic" w:hAnsi="Century Gothic"/>
          <w:sz w:val="21"/>
          <w:szCs w:val="21"/>
        </w:rPr>
        <w:t>Qhśr</w:t>
      </w:r>
      <w:proofErr w:type="spellEnd"/>
      <w:r>
        <w:rPr>
          <w:rFonts w:ascii="Century Gothic" w:hAnsi="Century Gothic"/>
          <w:sz w:val="21"/>
          <w:szCs w:val="21"/>
        </w:rPr>
        <w:t xml:space="preserve"> = 8,56 m³/h. W okresie eksploatacji natomiast (183 dni w roku) średnie dobowe zużycie wody będzie wynosić 409,84 m</w:t>
      </w:r>
      <w:r>
        <w:rPr>
          <w:rFonts w:ascii="Century Gothic" w:hAnsi="Century Gothic"/>
          <w:sz w:val="21"/>
          <w:szCs w:val="21"/>
          <w:vertAlign w:val="superscript"/>
        </w:rPr>
        <w:t>3</w:t>
      </w:r>
      <w:r>
        <w:rPr>
          <w:rFonts w:ascii="Century Gothic" w:hAnsi="Century Gothic"/>
          <w:sz w:val="21"/>
          <w:szCs w:val="21"/>
        </w:rPr>
        <w:t>/d.</w:t>
      </w:r>
    </w:p>
    <w:p w14:paraId="639C4DCA" w14:textId="77777777" w:rsidR="003B31BB" w:rsidRDefault="003B31BB" w:rsidP="003B31BB">
      <w:pPr>
        <w:spacing w:after="120" w:line="276" w:lineRule="auto"/>
        <w:ind w:firstLine="708"/>
        <w:jc w:val="both"/>
        <w:rPr>
          <w:rFonts w:ascii="Century Gothic" w:hAnsi="Century Gothic" w:cs="Arial"/>
          <w:bCs/>
          <w:sz w:val="21"/>
          <w:szCs w:val="21"/>
        </w:rPr>
      </w:pPr>
      <w:r>
        <w:rPr>
          <w:rFonts w:ascii="Century Gothic" w:hAnsi="Century Gothic" w:cs="Arial"/>
          <w:bCs/>
          <w:sz w:val="21"/>
          <w:szCs w:val="21"/>
        </w:rPr>
        <w:t>Odpady tj. odpady opakowaniowe i tworzywa sztuczne, będą czasowo magazynowane selektywnie w odpowiednich workach, po czym zostaną przekazane uprawnionym podmiotom do dalszego zagospodarowania. Etap eksploatacji przedsięwzięcia nie będzie się wiązał z wytwarzaniem odpadów.</w:t>
      </w:r>
    </w:p>
    <w:p w14:paraId="7E613883" w14:textId="77777777" w:rsidR="003B31BB" w:rsidRDefault="003B31BB" w:rsidP="003B31BB">
      <w:pPr>
        <w:spacing w:after="120" w:line="276" w:lineRule="auto"/>
        <w:ind w:firstLine="708"/>
        <w:jc w:val="both"/>
        <w:rPr>
          <w:rFonts w:ascii="Century Gothic" w:hAnsi="Century Gothic" w:cs="Arial"/>
          <w:bCs/>
          <w:sz w:val="21"/>
          <w:szCs w:val="21"/>
        </w:rPr>
      </w:pPr>
      <w:r>
        <w:rPr>
          <w:rFonts w:ascii="Century Gothic" w:hAnsi="Century Gothic" w:cs="Arial"/>
          <w:sz w:val="21"/>
          <w:szCs w:val="21"/>
        </w:rPr>
        <w:t>Teren przeznaczony pod przedsięwzięcie nie jest objęty miejscowym planem zagospodarowania przestrzennego i zlokalizowany jest poza obszarami chronionymi na podstawie ustawy z dnia 16 kwietnia 2004 r. o ochronie przyrody (Dz. U. z 2024 r. poz. 1478).</w:t>
      </w:r>
    </w:p>
    <w:p w14:paraId="02B50039"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46E41B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C1E5A59"/>
    <w:multiLevelType w:val="hybridMultilevel"/>
    <w:tmpl w:val="CF60192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30631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289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871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44340">
    <w:abstractNumId w:val="0"/>
    <w:lvlOverride w:ilvl="0"/>
    <w:lvlOverride w:ilvl="1"/>
    <w:lvlOverride w:ilvl="2"/>
    <w:lvlOverride w:ilvl="3"/>
    <w:lvlOverride w:ilvl="4"/>
    <w:lvlOverride w:ilvl="5"/>
    <w:lvlOverride w:ilvl="6"/>
    <w:lvlOverride w:ilvl="7"/>
    <w:lvlOverride w:ilvl="8"/>
  </w:num>
  <w:num w:numId="5" w16cid:durableId="1231816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502211">
    <w:abstractNumId w:val="2"/>
    <w:lvlOverride w:ilvl="0"/>
    <w:lvlOverride w:ilvl="1"/>
    <w:lvlOverride w:ilvl="2"/>
    <w:lvlOverride w:ilvl="3"/>
    <w:lvlOverride w:ilvl="4"/>
    <w:lvlOverride w:ilvl="5"/>
    <w:lvlOverride w:ilvl="6"/>
    <w:lvlOverride w:ilvl="7"/>
    <w:lvlOverride w:ilvl="8"/>
  </w:num>
  <w:num w:numId="7" w16cid:durableId="1580015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089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28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BB"/>
    <w:rsid w:val="003B31BB"/>
    <w:rsid w:val="00BE1502"/>
    <w:rsid w:val="00CE7316"/>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3436"/>
  <w15:chartTrackingRefBased/>
  <w15:docId w15:val="{35A30218-15F6-4C9E-A64C-A28A6F72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1BB"/>
    <w:pPr>
      <w:spacing w:line="252" w:lineRule="auto"/>
    </w:pPr>
    <w:rPr>
      <w:rFonts w:ascii="Calibri" w:eastAsia="Times New Roman" w:hAnsi="Calibri" w:cs="Times New Roman"/>
      <w:kern w:val="0"/>
      <w14:ligatures w14:val="none"/>
    </w:rPr>
  </w:style>
  <w:style w:type="paragraph" w:styleId="Nagwek1">
    <w:name w:val="heading 1"/>
    <w:basedOn w:val="Normalny"/>
    <w:next w:val="Normalny"/>
    <w:link w:val="Nagwek1Znak"/>
    <w:uiPriority w:val="9"/>
    <w:qFormat/>
    <w:rsid w:val="003B31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B31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31B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B31B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B31B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B31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31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31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31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1B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B31B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B31B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B31B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B31B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B31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31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31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31BB"/>
    <w:rPr>
      <w:rFonts w:eastAsiaTheme="majorEastAsia" w:cstheme="majorBidi"/>
      <w:color w:val="272727" w:themeColor="text1" w:themeTint="D8"/>
    </w:rPr>
  </w:style>
  <w:style w:type="paragraph" w:styleId="Tytu">
    <w:name w:val="Title"/>
    <w:basedOn w:val="Normalny"/>
    <w:next w:val="Normalny"/>
    <w:link w:val="TytuZnak"/>
    <w:uiPriority w:val="10"/>
    <w:qFormat/>
    <w:rsid w:val="003B3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31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31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31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31BB"/>
    <w:pPr>
      <w:spacing w:before="160"/>
      <w:jc w:val="center"/>
    </w:pPr>
    <w:rPr>
      <w:i/>
      <w:iCs/>
      <w:color w:val="404040" w:themeColor="text1" w:themeTint="BF"/>
    </w:rPr>
  </w:style>
  <w:style w:type="character" w:customStyle="1" w:styleId="CytatZnak">
    <w:name w:val="Cytat Znak"/>
    <w:basedOn w:val="Domylnaczcionkaakapitu"/>
    <w:link w:val="Cytat"/>
    <w:uiPriority w:val="29"/>
    <w:rsid w:val="003B31BB"/>
    <w:rPr>
      <w:i/>
      <w:iCs/>
      <w:color w:val="404040" w:themeColor="text1" w:themeTint="BF"/>
    </w:rPr>
  </w:style>
  <w:style w:type="paragraph" w:styleId="Akapitzlist">
    <w:name w:val="List Paragraph"/>
    <w:basedOn w:val="Normalny"/>
    <w:link w:val="AkapitzlistZnak"/>
    <w:uiPriority w:val="99"/>
    <w:qFormat/>
    <w:rsid w:val="003B31BB"/>
    <w:pPr>
      <w:ind w:left="720"/>
      <w:contextualSpacing/>
    </w:pPr>
  </w:style>
  <w:style w:type="character" w:styleId="Wyrnienieintensywne">
    <w:name w:val="Intense Emphasis"/>
    <w:basedOn w:val="Domylnaczcionkaakapitu"/>
    <w:uiPriority w:val="21"/>
    <w:qFormat/>
    <w:rsid w:val="003B31BB"/>
    <w:rPr>
      <w:i/>
      <w:iCs/>
      <w:color w:val="2F5496" w:themeColor="accent1" w:themeShade="BF"/>
    </w:rPr>
  </w:style>
  <w:style w:type="paragraph" w:styleId="Cytatintensywny">
    <w:name w:val="Intense Quote"/>
    <w:basedOn w:val="Normalny"/>
    <w:next w:val="Normalny"/>
    <w:link w:val="CytatintensywnyZnak"/>
    <w:uiPriority w:val="30"/>
    <w:qFormat/>
    <w:rsid w:val="003B3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B31BB"/>
    <w:rPr>
      <w:i/>
      <w:iCs/>
      <w:color w:val="2F5496" w:themeColor="accent1" w:themeShade="BF"/>
    </w:rPr>
  </w:style>
  <w:style w:type="character" w:styleId="Odwoanieintensywne">
    <w:name w:val="Intense Reference"/>
    <w:basedOn w:val="Domylnaczcionkaakapitu"/>
    <w:uiPriority w:val="32"/>
    <w:qFormat/>
    <w:rsid w:val="003B31BB"/>
    <w:rPr>
      <w:b/>
      <w:bCs/>
      <w:smallCaps/>
      <w:color w:val="2F5496" w:themeColor="accent1" w:themeShade="BF"/>
      <w:spacing w:val="5"/>
    </w:rPr>
  </w:style>
  <w:style w:type="paragraph" w:styleId="Tekstpodstawowy3">
    <w:name w:val="Body Text 3"/>
    <w:basedOn w:val="Normalny"/>
    <w:link w:val="Tekstpodstawowy3Znak"/>
    <w:semiHidden/>
    <w:unhideWhenUsed/>
    <w:rsid w:val="003B31BB"/>
    <w:pPr>
      <w:spacing w:after="120" w:line="240" w:lineRule="auto"/>
    </w:pPr>
    <w:rPr>
      <w:rFonts w:eastAsia="Calibri"/>
      <w:sz w:val="16"/>
      <w:szCs w:val="16"/>
      <w:lang w:eastAsia="pl-PL"/>
    </w:rPr>
  </w:style>
  <w:style w:type="character" w:customStyle="1" w:styleId="Tekstpodstawowy3Znak">
    <w:name w:val="Tekst podstawowy 3 Znak"/>
    <w:basedOn w:val="Domylnaczcionkaakapitu"/>
    <w:link w:val="Tekstpodstawowy3"/>
    <w:semiHidden/>
    <w:rsid w:val="003B31BB"/>
    <w:rPr>
      <w:rFonts w:ascii="Calibri" w:eastAsia="Calibri" w:hAnsi="Calibri" w:cs="Times New Roman"/>
      <w:kern w:val="0"/>
      <w:sz w:val="16"/>
      <w:szCs w:val="16"/>
      <w:lang w:eastAsia="pl-PL"/>
      <w14:ligatures w14:val="none"/>
    </w:rPr>
  </w:style>
  <w:style w:type="character" w:customStyle="1" w:styleId="AkapitzlistZnak">
    <w:name w:val="Akapit z listą Znak"/>
    <w:link w:val="Akapitzlist"/>
    <w:uiPriority w:val="99"/>
    <w:locked/>
    <w:rsid w:val="003B31BB"/>
  </w:style>
  <w:style w:type="paragraph" w:customStyle="1" w:styleId="Bezodstpw1">
    <w:name w:val="Bez odstępów1"/>
    <w:rsid w:val="003B31BB"/>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3870</Words>
  <Characters>23224</Characters>
  <Application>Microsoft Office Word</Application>
  <DocSecurity>0</DocSecurity>
  <Lines>193</Lines>
  <Paragraphs>54</Paragraphs>
  <ScaleCrop>false</ScaleCrop>
  <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2025-04-01T06:02:00Z</dcterms:created>
  <dcterms:modified xsi:type="dcterms:W3CDTF">2025-04-01T06:06:00Z</dcterms:modified>
</cp:coreProperties>
</file>