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B4EA" w14:textId="77777777" w:rsidR="00EF5D50" w:rsidRDefault="00EF5D50" w:rsidP="00EF5D50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               Gniezno, dnia 24 marca 2026 r.</w:t>
      </w:r>
    </w:p>
    <w:p w14:paraId="0D0F347A" w14:textId="77777777" w:rsidR="00EF5D50" w:rsidRDefault="00EF5D50" w:rsidP="00EF5D5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6220.4.2026</w:t>
      </w:r>
    </w:p>
    <w:p w14:paraId="1B5CDA07" w14:textId="77777777" w:rsidR="00EF5D50" w:rsidRDefault="00EF5D50" w:rsidP="00EF5D50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542510BD" w14:textId="77777777" w:rsidR="00EF5D50" w:rsidRDefault="00EF5D50" w:rsidP="00EF5D50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2D000677" w14:textId="77777777" w:rsidR="00EF5D50" w:rsidRDefault="00EF5D50" w:rsidP="00EF5D50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7504DAF8" w14:textId="2369B01D" w:rsidR="00EF5D50" w:rsidRDefault="00EF5D50" w:rsidP="00EF5D50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19 marca 2026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 xml:space="preserve">Pani Krystyny </w:t>
      </w:r>
      <w:r>
        <w:rPr>
          <w:rFonts w:ascii="Century Gothic" w:hAnsi="Century Gothic"/>
          <w:b/>
          <w:sz w:val="20"/>
          <w:szCs w:val="20"/>
        </w:rPr>
        <w:t>S.</w:t>
      </w:r>
      <w:r>
        <w:rPr>
          <w:rFonts w:ascii="Century Gothic" w:hAnsi="Century Gothic"/>
          <w:b/>
          <w:sz w:val="20"/>
          <w:szCs w:val="20"/>
        </w:rPr>
        <w:t xml:space="preserve"> reprezentowanej przez Pełnomocnika Panią Barbarę Pacyńską ul. Wełnicka 9, 62-200 Gniezno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1"/>
          <w:szCs w:val="21"/>
        </w:rPr>
        <w:t>budowie budynków mieszkalnych: 40 dwulokalowych, 54 czterolokalowych oraz 1 budynku przeznaczonym na usługi (łącznie 296 lokali) w zabudowie wolnostojącej wraz z drogami wewnętrznymi i niezbędną infrastrukturą techniczną w miejscowości Jankowo Dolne, Gmina Gniezno, działki nr 154 i 155.</w:t>
      </w:r>
    </w:p>
    <w:bookmarkEnd w:id="2"/>
    <w:p w14:paraId="565150D5" w14:textId="77777777" w:rsidR="00EF5D50" w:rsidRDefault="00EF5D50" w:rsidP="00EF5D50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0896D539" w14:textId="77777777" w:rsidR="00EF5D50" w:rsidRDefault="00EF5D50" w:rsidP="00EF5D50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1D7E9705" w14:textId="77777777" w:rsidR="00EF5D50" w:rsidRDefault="00EF5D50" w:rsidP="00EF5D50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oraz § 3 ust. 1 pkt 55 lit. b </w:t>
      </w:r>
      <w:bookmarkEnd w:id="3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drugie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1C744DD8" w14:textId="77777777" w:rsidR="00EF5D50" w:rsidRDefault="00EF5D50" w:rsidP="00EF5D50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34DB25B2" w14:textId="77777777" w:rsidR="00EF5D50" w:rsidRDefault="00EF5D50" w:rsidP="00EF5D50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5641E96A" w14:textId="77777777" w:rsidR="00EF5D50" w:rsidRDefault="00EF5D50" w:rsidP="00EF5D50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39A479D9" w14:textId="77777777" w:rsidR="00EF5D50" w:rsidRDefault="00EF5D50" w:rsidP="00EF5D50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75E35AB6" w14:textId="77777777" w:rsidR="00EF5D50" w:rsidRDefault="00EF5D50" w:rsidP="00EF5D50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2E1BF300" w14:textId="77777777" w:rsidR="00EF5D50" w:rsidRDefault="00EF5D50" w:rsidP="00EF5D50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01461CA6" w14:textId="77777777" w:rsidR="00EF5D50" w:rsidRDefault="00EF5D50" w:rsidP="00EF5D50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79C5B104" w14:textId="77777777" w:rsidR="00EF5D50" w:rsidRDefault="00EF5D50" w:rsidP="00EF5D50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25 marca 2026 roku</w:t>
      </w:r>
    </w:p>
    <w:p w14:paraId="3024E6CF" w14:textId="77777777" w:rsidR="00EF5D50" w:rsidRDefault="00EF5D50" w:rsidP="00EF5D50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12B75810" w14:textId="77777777" w:rsidR="00EF5D50" w:rsidRDefault="00EF5D50" w:rsidP="00EF5D50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1EBA0E85" w14:textId="77777777" w:rsidR="00EF5D50" w:rsidRDefault="00EF5D50" w:rsidP="00EF5D50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62CBBA57" w14:textId="77777777" w:rsidR="00EF5D50" w:rsidRDefault="00EF5D50" w:rsidP="00EF5D50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3CB87405" w14:textId="77777777" w:rsidR="00EF5D50" w:rsidRDefault="00EF5D50" w:rsidP="00EF5D50">
      <w:pPr>
        <w:rPr>
          <w:rFonts w:ascii="Century Gothic" w:hAnsi="Century Gothic"/>
          <w:sz w:val="18"/>
          <w:szCs w:val="18"/>
          <w:u w:val="single"/>
        </w:rPr>
      </w:pPr>
    </w:p>
    <w:p w14:paraId="0B47CA8C" w14:textId="77777777" w:rsidR="00EF5D50" w:rsidRDefault="00EF5D50" w:rsidP="00EF5D50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5C321175" w14:textId="77777777" w:rsidR="00EF5D50" w:rsidRDefault="00EF5D50" w:rsidP="00EF5D50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07D4A2FA" w14:textId="77777777" w:rsidR="00EF5D50" w:rsidRDefault="00EF5D50" w:rsidP="00EF5D50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CB750E6" w14:textId="1E26F10F" w:rsidR="00E15674" w:rsidRPr="00F2630B" w:rsidRDefault="00E15674" w:rsidP="006F1B25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F2630B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88F8" w14:textId="77777777" w:rsidR="0029040B" w:rsidRDefault="0029040B" w:rsidP="00A3277F">
      <w:r>
        <w:separator/>
      </w:r>
    </w:p>
  </w:endnote>
  <w:endnote w:type="continuationSeparator" w:id="0">
    <w:p w14:paraId="2CD370F2" w14:textId="77777777" w:rsidR="0029040B" w:rsidRDefault="0029040B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8357" w14:textId="77777777" w:rsidR="0029040B" w:rsidRDefault="0029040B" w:rsidP="00A3277F">
      <w:r>
        <w:separator/>
      </w:r>
    </w:p>
  </w:footnote>
  <w:footnote w:type="continuationSeparator" w:id="0">
    <w:p w14:paraId="6100A90C" w14:textId="77777777" w:rsidR="0029040B" w:rsidRDefault="0029040B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1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7"/>
  </w:num>
  <w:num w:numId="15" w16cid:durableId="310792296">
    <w:abstractNumId w:val="12"/>
  </w:num>
  <w:num w:numId="16" w16cid:durableId="1451826348">
    <w:abstractNumId w:val="10"/>
  </w:num>
  <w:num w:numId="17" w16cid:durableId="1320845041">
    <w:abstractNumId w:val="13"/>
  </w:num>
  <w:num w:numId="18" w16cid:durableId="1869558649">
    <w:abstractNumId w:val="18"/>
  </w:num>
  <w:num w:numId="19" w16cid:durableId="1528060326">
    <w:abstractNumId w:val="2"/>
  </w:num>
  <w:num w:numId="20" w16cid:durableId="475994192">
    <w:abstractNumId w:val="6"/>
  </w:num>
  <w:num w:numId="21" w16cid:durableId="1345354181">
    <w:abstractNumId w:val="9"/>
  </w:num>
  <w:num w:numId="22" w16cid:durableId="1900283659">
    <w:abstractNumId w:val="11"/>
  </w:num>
  <w:num w:numId="23" w16cid:durableId="1817136865">
    <w:abstractNumId w:val="20"/>
  </w:num>
  <w:num w:numId="24" w16cid:durableId="13757644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40B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C55AD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EF5D50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2026-03-24T12:14:00Z</cp:lastPrinted>
  <dcterms:created xsi:type="dcterms:W3CDTF">2026-03-24T12:14:00Z</dcterms:created>
  <dcterms:modified xsi:type="dcterms:W3CDTF">2026-03-24T12:14:00Z</dcterms:modified>
</cp:coreProperties>
</file>