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8914" w14:textId="77777777" w:rsidR="00BE40B3" w:rsidRDefault="00BE40B3" w:rsidP="00BE40B3">
      <w:pPr>
        <w:keepNext/>
        <w:keepLines/>
        <w:spacing w:before="40" w:after="0" w:line="276" w:lineRule="auto"/>
        <w:jc w:val="right"/>
        <w:outlineLvl w:val="4"/>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4 maja 2026 r.</w:t>
      </w:r>
    </w:p>
    <w:p w14:paraId="01839737" w14:textId="77777777" w:rsidR="00BE40B3" w:rsidRDefault="00BE40B3" w:rsidP="00BE40B3">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6220.3.2026</w:t>
      </w:r>
    </w:p>
    <w:p w14:paraId="304CCF61" w14:textId="77777777" w:rsidR="00BE40B3" w:rsidRDefault="00BE40B3" w:rsidP="00BE40B3">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0DBC9123" w14:textId="77777777" w:rsidR="00BE40B3" w:rsidRDefault="00BE40B3" w:rsidP="00BE40B3">
      <w:pPr>
        <w:spacing w:after="0" w:line="276" w:lineRule="auto"/>
        <w:jc w:val="both"/>
        <w:rPr>
          <w:rFonts w:ascii="Century Gothic" w:eastAsia="Times New Roman" w:hAnsi="Century Gothic" w:cs="Calibri"/>
          <w:b/>
          <w:bCs/>
          <w:kern w:val="0"/>
          <w:sz w:val="20"/>
          <w:szCs w:val="20"/>
          <w14:ligatures w14:val="none"/>
        </w:rPr>
      </w:pPr>
      <w:r>
        <w:rPr>
          <w:rFonts w:ascii="Century Gothic" w:eastAsia="Times New Roman" w:hAnsi="Century Gothic" w:cs="Calibri"/>
          <w:kern w:val="0"/>
          <w:sz w:val="20"/>
          <w:szCs w:val="20"/>
          <w14:ligatures w14:val="none"/>
        </w:rPr>
        <w:t xml:space="preserve">Na podstawie art. 49 ustawy z dnia 14 czerwca 1960 r. </w:t>
      </w:r>
      <w:r>
        <w:rPr>
          <w:rFonts w:ascii="Century Gothic" w:eastAsia="Times New Roman" w:hAnsi="Century Gothic" w:cs="Calibri"/>
          <w:i/>
          <w:kern w:val="0"/>
          <w:sz w:val="20"/>
          <w:szCs w:val="20"/>
          <w14:ligatures w14:val="none"/>
        </w:rPr>
        <w:t xml:space="preserve">kodeks postępowania administracyjnego </w:t>
      </w:r>
      <w:r>
        <w:rPr>
          <w:rFonts w:ascii="Century Gothic" w:eastAsia="Times New Roman" w:hAnsi="Century Gothic" w:cs="Calibri"/>
          <w:kern w:val="0"/>
          <w:sz w:val="20"/>
          <w:szCs w:val="20"/>
          <w14:ligatures w14:val="none"/>
        </w:rPr>
        <w:t xml:space="preserve">/Dz. U. 2025 r., poz. 1691/, w związku z art. 74 ust. 3 ustawy </w:t>
      </w:r>
      <w:r>
        <w:rPr>
          <w:rFonts w:ascii="Century Gothic" w:eastAsia="Times New Roman" w:hAnsi="Century Gothic" w:cs="Calibri"/>
          <w:kern w:val="0"/>
          <w:sz w:val="20"/>
          <w:szCs w:val="20"/>
          <w14:ligatures w14:val="none"/>
        </w:rPr>
        <w:br/>
        <w:t xml:space="preserve">z dnia 3 października </w:t>
      </w:r>
      <w:r>
        <w:rPr>
          <w:rFonts w:ascii="Century Gothic" w:eastAsia="Times New Roman" w:hAnsi="Century Gothic" w:cs="Calibri"/>
          <w:bCs/>
          <w:kern w:val="0"/>
          <w:sz w:val="20"/>
          <w:szCs w:val="20"/>
          <w14:ligatures w14:val="none"/>
        </w:rPr>
        <w:t xml:space="preserve">2008 r. </w:t>
      </w:r>
      <w:r>
        <w:rPr>
          <w:rFonts w:ascii="Century Gothic" w:eastAsia="Times New Roman" w:hAnsi="Century Gothic" w:cs="Calibri"/>
          <w:bCs/>
          <w:i/>
          <w:kern w:val="0"/>
          <w:sz w:val="20"/>
          <w:szCs w:val="20"/>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0"/>
          <w:szCs w:val="20"/>
          <w14:ligatures w14:val="none"/>
        </w:rPr>
        <w:t xml:space="preserve"> </w:t>
      </w:r>
      <w:r>
        <w:rPr>
          <w:rFonts w:ascii="Century Gothic" w:eastAsia="Times New Roman" w:hAnsi="Century Gothic" w:cs="Calibri"/>
          <w:kern w:val="0"/>
          <w:sz w:val="20"/>
          <w:szCs w:val="20"/>
          <w14:ligatures w14:val="none"/>
        </w:rPr>
        <w:t xml:space="preserve">/Dz. U. z 2024 r., poz. 1112 ze zm./ </w:t>
      </w:r>
      <w:r>
        <w:rPr>
          <w:rFonts w:ascii="Century Gothic" w:eastAsia="Times New Roman" w:hAnsi="Century Gothic" w:cs="Calibri"/>
          <w:b/>
          <w:kern w:val="0"/>
          <w:sz w:val="20"/>
          <w:szCs w:val="20"/>
          <w14:ligatures w14:val="none"/>
        </w:rPr>
        <w:t xml:space="preserve">Wójt Gminy Gniezno </w:t>
      </w:r>
      <w:r>
        <w:rPr>
          <w:rFonts w:ascii="Century Gothic" w:eastAsia="Times New Roman" w:hAnsi="Century Gothic" w:cs="Calibri"/>
          <w:bCs/>
          <w:kern w:val="0"/>
          <w:sz w:val="20"/>
          <w:szCs w:val="20"/>
          <w14:ligatures w14:val="none"/>
        </w:rPr>
        <w:t>zawiadamia</w:t>
      </w:r>
      <w:r>
        <w:rPr>
          <w:rFonts w:ascii="Century Gothic" w:eastAsia="Times New Roman" w:hAnsi="Century Gothic" w:cs="Calibri"/>
          <w:b/>
          <w:bCs/>
          <w:kern w:val="0"/>
          <w:sz w:val="20"/>
          <w:szCs w:val="20"/>
          <w14:ligatures w14:val="none"/>
        </w:rPr>
        <w:t xml:space="preserve"> </w:t>
      </w:r>
      <w:r>
        <w:rPr>
          <w:rFonts w:ascii="Century Gothic" w:eastAsia="Times New Roman" w:hAnsi="Century Gothic" w:cs="Calibri"/>
          <w:bCs/>
          <w:kern w:val="0"/>
          <w:sz w:val="20"/>
          <w:szCs w:val="20"/>
          <w14:ligatures w14:val="none"/>
        </w:rPr>
        <w:t>strony postępowania administracyjnego o wydanej</w:t>
      </w:r>
      <w:r>
        <w:rPr>
          <w:rFonts w:ascii="Century Gothic" w:eastAsia="Times New Roman" w:hAnsi="Century Gothic" w:cs="Calibri"/>
          <w:kern w:val="0"/>
          <w:sz w:val="20"/>
          <w:szCs w:val="20"/>
          <w14:ligatures w14:val="none"/>
        </w:rPr>
        <w:t xml:space="preserve"> dnia 4 maja 2026 r. decyzji o środowiskowych uwarunkowaniach</w:t>
      </w:r>
      <w:r>
        <w:rPr>
          <w:rFonts w:ascii="Century Gothic" w:eastAsia="Times New Roman" w:hAnsi="Century Gothic" w:cs="Calibri"/>
          <w:b/>
          <w:kern w:val="0"/>
          <w:sz w:val="20"/>
          <w:szCs w:val="20"/>
          <w14:ligatures w14:val="none"/>
        </w:rPr>
        <w:t xml:space="preserve"> </w:t>
      </w:r>
      <w:r>
        <w:rPr>
          <w:rFonts w:ascii="Century Gothic" w:eastAsia="Times New Roman" w:hAnsi="Century Gothic" w:cs="Calibri"/>
          <w:kern w:val="0"/>
          <w:sz w:val="20"/>
          <w:szCs w:val="20"/>
          <w14:ligatures w14:val="none"/>
        </w:rPr>
        <w:t>dla przedsięwzięcia polegającego na</w:t>
      </w:r>
      <w:bookmarkStart w:id="0" w:name="_Hlk75772086"/>
      <w:r>
        <w:rPr>
          <w:rFonts w:ascii="Century Gothic" w:eastAsia="Calibri" w:hAnsi="Century Gothic" w:cs="Cambria"/>
          <w:b/>
          <w:sz w:val="20"/>
          <w:szCs w:val="20"/>
        </w:rPr>
        <w:t xml:space="preserve"> </w:t>
      </w:r>
      <w:r>
        <w:rPr>
          <w:rFonts w:ascii="Century Gothic" w:hAnsi="Century Gothic"/>
          <w:b/>
          <w:sz w:val="20"/>
          <w:szCs w:val="20"/>
        </w:rPr>
        <w:t>budowie 4 budynków mieszkalnych jednorodzinnych w zabudowie wolnostojącej wraz z drogami wewnętrznymi i niezbędną infrastrukturą techniczną w miejscowości Kalina, Gmina Gniezno, działka nr 78/2</w:t>
      </w:r>
      <w:r>
        <w:rPr>
          <w:rFonts w:ascii="Century Gothic" w:eastAsia="Times New Roman" w:hAnsi="Century Gothic" w:cs="Calibri"/>
          <w:kern w:val="0"/>
          <w:sz w:val="20"/>
          <w:szCs w:val="20"/>
          <w14:ligatures w14:val="none"/>
        </w:rPr>
        <w:t>,</w:t>
      </w:r>
      <w:r>
        <w:rPr>
          <w:rFonts w:ascii="Century Gothic" w:eastAsia="Times New Roman" w:hAnsi="Century Gothic" w:cs="Calibri"/>
          <w:b/>
          <w:kern w:val="0"/>
          <w:sz w:val="20"/>
          <w:szCs w:val="20"/>
          <w14:ligatures w14:val="none"/>
        </w:rPr>
        <w:t xml:space="preserve"> </w:t>
      </w:r>
      <w:bookmarkEnd w:id="0"/>
      <w:r>
        <w:rPr>
          <w:rFonts w:ascii="Century Gothic" w:eastAsia="Times New Roman" w:hAnsi="Century Gothic" w:cs="Calibri"/>
          <w:bCs/>
          <w:kern w:val="0"/>
          <w:sz w:val="20"/>
          <w:szCs w:val="20"/>
          <w14:ligatures w14:val="none"/>
        </w:rPr>
        <w:t>której treść podaje poniżej.</w:t>
      </w:r>
      <w:r>
        <w:rPr>
          <w:rFonts w:ascii="Century Gothic" w:eastAsia="Times New Roman" w:hAnsi="Century Gothic" w:cs="Calibri"/>
          <w:b/>
          <w:bCs/>
          <w:kern w:val="0"/>
          <w:sz w:val="20"/>
          <w:szCs w:val="20"/>
          <w14:ligatures w14:val="none"/>
        </w:rPr>
        <w:t xml:space="preserve"> </w:t>
      </w:r>
    </w:p>
    <w:p w14:paraId="1618A2FA" w14:textId="77777777" w:rsidR="00BE40B3" w:rsidRDefault="00BE40B3" w:rsidP="00BE40B3">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4A3115F1" w14:textId="77777777" w:rsidR="00BE40B3" w:rsidRDefault="00BE40B3" w:rsidP="00BE40B3">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5 maja 2026 roku</w:t>
      </w:r>
      <w:r>
        <w:rPr>
          <w:rFonts w:ascii="Century Gothic" w:eastAsia="Times New Roman" w:hAnsi="Century Gothic" w:cs="Times New Roman"/>
          <w:kern w:val="0"/>
          <w:sz w:val="16"/>
          <w:szCs w:val="16"/>
          <w:lang w:eastAsia="pl-PL"/>
          <w14:ligatures w14:val="none"/>
        </w:rPr>
        <w:t>.</w:t>
      </w:r>
    </w:p>
    <w:p w14:paraId="58239AD3" w14:textId="77777777" w:rsidR="00BE40B3" w:rsidRDefault="00BE40B3" w:rsidP="00BE40B3">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4 maja 2026 r.</w:t>
      </w:r>
    </w:p>
    <w:p w14:paraId="68F771C2" w14:textId="77777777" w:rsidR="00BE40B3" w:rsidRDefault="00BE40B3" w:rsidP="00BE40B3">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6220.3.2026</w:t>
      </w:r>
    </w:p>
    <w:p w14:paraId="77D408E6" w14:textId="77777777" w:rsidR="00BE40B3" w:rsidRDefault="00BE40B3" w:rsidP="00BE40B3">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1C664F33" w14:textId="77777777" w:rsidR="00BE40B3" w:rsidRDefault="00BE40B3" w:rsidP="00BE40B3">
      <w:pPr>
        <w:spacing w:after="0" w:line="276" w:lineRule="auto"/>
        <w:jc w:val="center"/>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1BF923E2" w14:textId="77777777" w:rsidR="00BE40B3" w:rsidRDefault="00BE40B3" w:rsidP="00BE40B3">
      <w:pPr>
        <w:spacing w:after="0" w:line="276" w:lineRule="auto"/>
        <w:jc w:val="both"/>
        <w:rPr>
          <w:rFonts w:ascii="Century Gothic" w:eastAsia="Times New Roman" w:hAnsi="Century Gothic" w:cs="Times New Roman"/>
          <w:kern w:val="0"/>
          <w:sz w:val="21"/>
          <w:szCs w:val="21"/>
          <w:lang w:eastAsia="pl-PL"/>
          <w14:ligatures w14:val="none"/>
        </w:rPr>
      </w:pPr>
    </w:p>
    <w:p w14:paraId="3FE24C19" w14:textId="6BCFF0BC" w:rsidR="00BE40B3" w:rsidRDefault="00BE40B3" w:rsidP="00BE40B3">
      <w:pPr>
        <w:spacing w:after="0" w:line="276" w:lineRule="auto"/>
        <w:jc w:val="both"/>
        <w:rPr>
          <w:rFonts w:ascii="Century Gothic" w:hAnsi="Century Gothic"/>
          <w:b/>
          <w:sz w:val="20"/>
          <w:szCs w:val="20"/>
        </w:rPr>
      </w:pPr>
      <w:r>
        <w:rPr>
          <w:rFonts w:ascii="Century Gothic" w:eastAsia="Times New Roman" w:hAnsi="Century Gothic" w:cs="Times New Roman"/>
          <w:kern w:val="0"/>
          <w:sz w:val="20"/>
          <w:szCs w:val="20"/>
          <w:lang w:eastAsia="pl-PL"/>
          <w14:ligatures w14:val="none"/>
        </w:rPr>
        <w:tab/>
      </w:r>
      <w:r>
        <w:rPr>
          <w:rFonts w:ascii="Century Gothic" w:eastAsia="Times New Roman" w:hAnsi="Century Gothic" w:cs="Calibri"/>
          <w:kern w:val="0"/>
          <w:sz w:val="20"/>
          <w:szCs w:val="20"/>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kern w:val="0"/>
          <w:sz w:val="20"/>
          <w:szCs w:val="20"/>
          <w:lang w:eastAsia="pl-PL"/>
          <w14:ligatures w14:val="none"/>
        </w:rPr>
        <w:t xml:space="preserve">o udostępnianiu informacji </w:t>
      </w:r>
      <w:r>
        <w:rPr>
          <w:rFonts w:ascii="Century Gothic" w:eastAsia="Times New Roman" w:hAnsi="Century Gothic" w:cs="Calibri"/>
          <w:i/>
          <w:kern w:val="0"/>
          <w:sz w:val="20"/>
          <w:szCs w:val="20"/>
          <w:lang w:eastAsia="pl-PL"/>
          <w14:ligatures w14:val="none"/>
        </w:rPr>
        <w:br/>
        <w:t xml:space="preserve">o środowisku i jego ochronie, udziale społeczeństwa w ochronie środowiska oraz </w:t>
      </w:r>
      <w:r>
        <w:rPr>
          <w:rFonts w:ascii="Century Gothic" w:eastAsia="Times New Roman" w:hAnsi="Century Gothic" w:cs="Calibri"/>
          <w:i/>
          <w:kern w:val="0"/>
          <w:sz w:val="20"/>
          <w:szCs w:val="20"/>
          <w:lang w:eastAsia="pl-PL"/>
          <w14:ligatures w14:val="none"/>
        </w:rPr>
        <w:br/>
        <w:t>o ocenach oddziaływania na środowisko</w:t>
      </w:r>
      <w:r>
        <w:rPr>
          <w:rFonts w:ascii="Century Gothic" w:eastAsia="Times New Roman" w:hAnsi="Century Gothic" w:cs="Calibri"/>
          <w:kern w:val="0"/>
          <w:sz w:val="20"/>
          <w:szCs w:val="20"/>
          <w:lang w:eastAsia="pl-PL"/>
          <w14:ligatures w14:val="none"/>
        </w:rPr>
        <w:t xml:space="preserve"> /Dz. U. z 2024 r., poz. 1112 ze zm./ oraz art. 104 ustawy z dnia 14 czerwca 1960 r. </w:t>
      </w:r>
      <w:r>
        <w:rPr>
          <w:rFonts w:ascii="Century Gothic" w:eastAsia="Times New Roman" w:hAnsi="Century Gothic" w:cs="Calibri"/>
          <w:i/>
          <w:kern w:val="0"/>
          <w:sz w:val="20"/>
          <w:szCs w:val="20"/>
          <w:lang w:eastAsia="pl-PL"/>
          <w14:ligatures w14:val="none"/>
        </w:rPr>
        <w:t xml:space="preserve">kodeks postępowania administracyjnego </w:t>
      </w:r>
      <w:r>
        <w:rPr>
          <w:rFonts w:ascii="Century Gothic" w:eastAsia="Times New Roman" w:hAnsi="Century Gothic" w:cs="Calibri"/>
          <w:kern w:val="0"/>
          <w:sz w:val="20"/>
          <w:szCs w:val="20"/>
          <w:lang w:eastAsia="pl-PL"/>
          <w14:ligatures w14:val="none"/>
        </w:rPr>
        <w:t>/Dz. U. z 2025 r., poz. 1691/, po rozpatrzeniu wniosku</w:t>
      </w:r>
      <w:r>
        <w:rPr>
          <w:rFonts w:ascii="Century Gothic" w:eastAsia="Times New Roman" w:hAnsi="Century Gothic" w:cs="Times New Roman"/>
          <w:kern w:val="0"/>
          <w:sz w:val="20"/>
          <w:szCs w:val="20"/>
          <w14:ligatures w14:val="none"/>
        </w:rPr>
        <w:t xml:space="preserve"> Inwestora </w:t>
      </w:r>
      <w:r>
        <w:rPr>
          <w:rFonts w:ascii="Century Gothic" w:hAnsi="Century Gothic"/>
          <w:b/>
          <w:sz w:val="20"/>
          <w:szCs w:val="20"/>
        </w:rPr>
        <w:t>Pana Piotra Z</w:t>
      </w:r>
      <w:r>
        <w:rPr>
          <w:rFonts w:ascii="Century Gothic" w:hAnsi="Century Gothic"/>
          <w:b/>
          <w:sz w:val="20"/>
          <w:szCs w:val="20"/>
        </w:rPr>
        <w:t>.</w:t>
      </w:r>
      <w:r>
        <w:rPr>
          <w:rFonts w:ascii="Century Gothic" w:hAnsi="Century Gothic"/>
          <w:b/>
          <w:sz w:val="20"/>
          <w:szCs w:val="20"/>
        </w:rPr>
        <w:t xml:space="preserve"> reprezentowanego przez Pełnomocnika Panią Barbarę Pacyńską ul. Wełnicka 9, 62-200 Gniezno </w:t>
      </w:r>
      <w:r>
        <w:rPr>
          <w:rFonts w:ascii="Century Gothic" w:eastAsia="Times New Roman" w:hAnsi="Century Gothic" w:cs="Calibri"/>
          <w:kern w:val="0"/>
          <w:sz w:val="20"/>
          <w:szCs w:val="20"/>
          <w:lang w:eastAsia="pl-PL"/>
          <w14:ligatures w14:val="none"/>
        </w:rPr>
        <w:t>w sprawie wydania decyzji o środowiskowych uwarunkowaniach dla przedsięwzięcia polegającego na</w:t>
      </w:r>
      <w:bookmarkStart w:id="1" w:name="_Hlk213137115"/>
      <w:r>
        <w:rPr>
          <w:rFonts w:ascii="Century Gothic" w:hAnsi="Century Gothic"/>
          <w:b/>
          <w:sz w:val="20"/>
          <w:szCs w:val="20"/>
        </w:rPr>
        <w:t xml:space="preserve"> </w:t>
      </w:r>
      <w:bookmarkEnd w:id="1"/>
      <w:r>
        <w:rPr>
          <w:rFonts w:ascii="Century Gothic" w:hAnsi="Century Gothic"/>
          <w:b/>
          <w:sz w:val="20"/>
          <w:szCs w:val="20"/>
        </w:rPr>
        <w:t>budowie 4 budynków mieszkalnych jednorodzinnych w zabudowie wolnostojącej wraz z drogami wewnętrznymi i niezbędną infrastrukturą techniczną w miejscowości Kalina, Gmina Gniezno, działka nr 78/2.</w:t>
      </w:r>
    </w:p>
    <w:p w14:paraId="678E415B" w14:textId="77777777" w:rsidR="00BE40B3" w:rsidRDefault="00BE40B3" w:rsidP="00BE40B3">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576E3DF0" w14:textId="77777777" w:rsidR="00BE40B3" w:rsidRDefault="00BE40B3" w:rsidP="00BE40B3">
      <w:pPr>
        <w:spacing w:after="0" w:line="276" w:lineRule="auto"/>
        <w:jc w:val="center"/>
        <w:rPr>
          <w:rFonts w:ascii="Century Gothic" w:eastAsia="Times New Roman" w:hAnsi="Century Gothic" w:cs="Calibri"/>
          <w:b/>
          <w:kern w:val="0"/>
          <w:sz w:val="21"/>
          <w:szCs w:val="21"/>
          <w:lang w:eastAsia="pl-PL"/>
          <w14:ligatures w14:val="none"/>
        </w:rPr>
      </w:pPr>
    </w:p>
    <w:p w14:paraId="3B4B0005" w14:textId="77777777" w:rsidR="00BE40B3" w:rsidRDefault="00BE40B3" w:rsidP="00BE40B3">
      <w:pPr>
        <w:numPr>
          <w:ilvl w:val="0"/>
          <w:numId w:val="1"/>
        </w:numPr>
        <w:spacing w:after="0" w:line="276" w:lineRule="auto"/>
        <w:ind w:left="720" w:hanging="360"/>
        <w:jc w:val="both"/>
        <w:rPr>
          <w:rFonts w:ascii="Century Gothic" w:eastAsia="Times New Roman" w:hAnsi="Century Gothic" w:cs="Calibri"/>
          <w:b/>
          <w:kern w:val="0"/>
          <w:sz w:val="20"/>
          <w:szCs w:val="20"/>
          <w14:ligatures w14:val="none"/>
        </w:rPr>
      </w:pPr>
      <w:r>
        <w:rPr>
          <w:rFonts w:ascii="Century Gothic" w:eastAsia="Times New Roman" w:hAnsi="Century Gothic" w:cs="Calibri"/>
          <w:b/>
          <w:kern w:val="0"/>
          <w:sz w:val="20"/>
          <w:szCs w:val="20"/>
          <w:lang w:eastAsia="pl-PL"/>
          <w14:ligatures w14:val="none"/>
        </w:rPr>
        <w:t xml:space="preserve">Stwierdzić brak potrzeby przeprowadzenia oceny oddziaływania na środowisko </w:t>
      </w:r>
      <w:r>
        <w:rPr>
          <w:rFonts w:ascii="Century Gothic" w:eastAsia="Times New Roman" w:hAnsi="Century Gothic" w:cs="Calibri"/>
          <w:kern w:val="0"/>
          <w:sz w:val="20"/>
          <w:szCs w:val="20"/>
          <w:lang w:eastAsia="pl-PL"/>
          <w14:ligatures w14:val="none"/>
        </w:rPr>
        <w:t xml:space="preserve">dla przedsięwzięcia </w:t>
      </w:r>
      <w:r>
        <w:rPr>
          <w:rFonts w:ascii="Century Gothic" w:eastAsia="Times New Roman" w:hAnsi="Century Gothic" w:cs="Calibri"/>
          <w:kern w:val="0"/>
          <w:sz w:val="20"/>
          <w:szCs w:val="20"/>
          <w14:ligatures w14:val="none"/>
        </w:rPr>
        <w:t>polegającego</w:t>
      </w:r>
      <w:r>
        <w:rPr>
          <w:rFonts w:ascii="Century Gothic" w:eastAsia="Times New Roman" w:hAnsi="Century Gothic" w:cs="Calibri"/>
          <w:bCs/>
          <w:kern w:val="0"/>
          <w:sz w:val="20"/>
          <w:szCs w:val="20"/>
          <w14:ligatures w14:val="none"/>
        </w:rPr>
        <w:t xml:space="preserve"> na</w:t>
      </w:r>
      <w:r>
        <w:rPr>
          <w:rFonts w:ascii="Century Gothic" w:hAnsi="Century Gothic"/>
          <w:b/>
          <w:sz w:val="20"/>
          <w:szCs w:val="20"/>
        </w:rPr>
        <w:t xml:space="preserve"> budowie 4 budynków mieszkalnych jednorodzinnych w zabudowie wolnostojącej wraz z drogami wewnętrznymi i niezbędną infrastrukturą techniczną w miejscowości Kalina, Gmina Gniezno, działka nr 78/2.</w:t>
      </w:r>
    </w:p>
    <w:p w14:paraId="474CA5DE" w14:textId="77777777" w:rsidR="00BE40B3" w:rsidRDefault="00BE40B3" w:rsidP="00BE40B3">
      <w:pPr>
        <w:numPr>
          <w:ilvl w:val="0"/>
          <w:numId w:val="1"/>
        </w:numPr>
        <w:spacing w:after="0" w:line="276" w:lineRule="auto"/>
        <w:ind w:left="720" w:hanging="360"/>
        <w:jc w:val="both"/>
        <w:rPr>
          <w:rFonts w:ascii="Century Gothic" w:eastAsia="Times New Roman" w:hAnsi="Century Gothic" w:cs="Calibri"/>
          <w:b/>
          <w:kern w:val="0"/>
          <w:sz w:val="20"/>
          <w:szCs w:val="20"/>
          <w:lang w:eastAsia="pl-PL"/>
          <w14:ligatures w14:val="none"/>
        </w:rPr>
      </w:pPr>
      <w:r>
        <w:rPr>
          <w:rFonts w:ascii="Century Gothic" w:eastAsia="Times New Roman" w:hAnsi="Century Gothic" w:cs="Calibri"/>
          <w:b/>
          <w:kern w:val="0"/>
          <w:sz w:val="20"/>
          <w:szCs w:val="20"/>
          <w14:ligatures w14:val="none"/>
        </w:rPr>
        <w:t xml:space="preserve">Określić następujące </w:t>
      </w:r>
      <w:r>
        <w:rPr>
          <w:rFonts w:ascii="Century Gothic" w:eastAsia="Times New Roman" w:hAnsi="Century Gothic" w:cs="Calibri"/>
          <w:b/>
          <w:kern w:val="0"/>
          <w:sz w:val="20"/>
          <w:szCs w:val="20"/>
          <w:lang w:eastAsia="pl-PL"/>
          <w14:ligatures w14:val="none"/>
        </w:rPr>
        <w:t>środowiskowe uwarunkowania realizacji opisanego wyżej przedsięwzięcia:</w:t>
      </w:r>
    </w:p>
    <w:p w14:paraId="62841E9F" w14:textId="77777777" w:rsidR="00BE40B3" w:rsidRDefault="00BE40B3" w:rsidP="00BE40B3">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i/>
          <w:iCs/>
          <w:kern w:val="0"/>
          <w:sz w:val="20"/>
          <w:szCs w:val="20"/>
          <w:u w:val="single"/>
          <w:lang w:eastAsia="pl-PL"/>
          <w14:ligatures w14:val="none"/>
        </w:rPr>
        <w:t>Rodzaj i miejsce realizacji przedsięwzięcia</w:t>
      </w:r>
    </w:p>
    <w:p w14:paraId="0197A5F6" w14:textId="77777777" w:rsidR="00BE40B3" w:rsidRDefault="00BE40B3" w:rsidP="00BE40B3">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hAnsi="Century Gothic"/>
          <w:bCs/>
          <w:sz w:val="20"/>
          <w:szCs w:val="20"/>
        </w:rPr>
        <w:t xml:space="preserve">Budowa 4 budynków mieszkalnych jednorodzinnych w zabudowie wolnostojącej wraz z drogami wewnętrznymi i niezbędną infrastrukturą </w:t>
      </w:r>
      <w:r>
        <w:rPr>
          <w:rFonts w:ascii="Century Gothic" w:hAnsi="Century Gothic"/>
          <w:bCs/>
          <w:sz w:val="20"/>
          <w:szCs w:val="20"/>
        </w:rPr>
        <w:lastRenderedPageBreak/>
        <w:t xml:space="preserve">techniczną </w:t>
      </w:r>
      <w:r>
        <w:rPr>
          <w:rFonts w:ascii="Century Gothic" w:eastAsia="Times New Roman" w:hAnsi="Century Gothic" w:cs="Calibri"/>
          <w:bCs/>
          <w:i/>
          <w:kern w:val="0"/>
          <w:sz w:val="20"/>
          <w:szCs w:val="20"/>
          <w14:ligatures w14:val="none"/>
        </w:rPr>
        <w:t xml:space="preserve">, </w:t>
      </w:r>
      <w:r>
        <w:rPr>
          <w:rFonts w:ascii="Century Gothic" w:eastAsia="Times New Roman" w:hAnsi="Century Gothic" w:cs="Calibri"/>
          <w:bCs/>
          <w:kern w:val="0"/>
          <w:sz w:val="20"/>
          <w:szCs w:val="20"/>
          <w:lang w:eastAsia="pl-PL"/>
          <w14:ligatures w14:val="none"/>
        </w:rPr>
        <w:t>zgodnie z charakterystyką przedsięwzięcia, która stanowi załącznik do niniejszej decyzji.</w:t>
      </w:r>
    </w:p>
    <w:p w14:paraId="31C68CEF" w14:textId="77777777" w:rsidR="00BE40B3" w:rsidRDefault="00BE40B3" w:rsidP="00BE40B3">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Przedsięwzięcie realizowane będzie </w:t>
      </w:r>
      <w:r>
        <w:rPr>
          <w:rFonts w:ascii="Century Gothic" w:eastAsia="Times New Roman" w:hAnsi="Century Gothic" w:cs="Calibri"/>
          <w:bCs/>
          <w:kern w:val="0"/>
          <w:sz w:val="20"/>
          <w:szCs w:val="20"/>
          <w14:ligatures w14:val="none"/>
        </w:rPr>
        <w:t xml:space="preserve">na nieruchomości oznaczonej geodezyjnie jako działka nr 78/2, położona w miejscowości Kalina, Gmina Gniezno. </w:t>
      </w:r>
    </w:p>
    <w:p w14:paraId="29197A01" w14:textId="77777777" w:rsidR="00BE40B3" w:rsidRDefault="00BE40B3" w:rsidP="00BE40B3">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bCs/>
          <w:i/>
          <w:iCs/>
          <w:kern w:val="0"/>
          <w:sz w:val="20"/>
          <w:szCs w:val="20"/>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516A3AC9" w14:textId="77777777" w:rsidR="00BE40B3" w:rsidRDefault="00BE40B3" w:rsidP="00BE40B3">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Nie prowadzić napraw i konserwacji sprzętu budowlanego na terenie przedsięwzięcia.</w:t>
      </w:r>
    </w:p>
    <w:p w14:paraId="735E1EF9" w14:textId="77777777" w:rsidR="00BE40B3" w:rsidRDefault="00BE40B3" w:rsidP="00BE40B3">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etapie realizacji przedsięwzięcia zaplecze techniczne, miejsca postoju maszyn budowlanych i sprzętu transportowego oraz magazynowania materiałów budowlanych i odpadów należy zorganizować na terenie uszczelnionym, co zabezpieczy grunt i wody przed przedostaniem się do nich zanieczyszczeń (w tym substancji ropopochodnych), </w:t>
      </w:r>
    </w:p>
    <w:p w14:paraId="7CD738D4" w14:textId="77777777" w:rsidR="00BE40B3" w:rsidRDefault="00BE40B3" w:rsidP="00BE40B3">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zapleczu budowy oraz w miejscach prac budowlanych należy zapewnić dostępność sorbentów, właściwych w zakresie ilości i rodzaju do potencjalnego zagrożenia, mogącego wystąpić w następstwie sytuacji awaryjnych, </w:t>
      </w:r>
    </w:p>
    <w:p w14:paraId="67AC1F50" w14:textId="77777777" w:rsidR="00BE40B3" w:rsidRDefault="00BE40B3" w:rsidP="00BE40B3">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przypadku przedostania się wycieków zanieczyszczeń do gruntu lub wód należy bezzwłocznie podjąć działania zmierzające do usunięcie skutków i przyczyn wycieku, </w:t>
      </w:r>
    </w:p>
    <w:p w14:paraId="513A3B78" w14:textId="77777777" w:rsidR="00BE40B3" w:rsidRDefault="00BE40B3" w:rsidP="00BE40B3">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Odpady należy gromadzić zgodnie z przepisami odrębnymi, mając na celu zabezpieczenie gruntu i wód przed zanieczyszczeniem odciekami, </w:t>
      </w:r>
    </w:p>
    <w:p w14:paraId="42084AA7" w14:textId="77777777" w:rsidR="00BE40B3" w:rsidRDefault="00BE40B3" w:rsidP="00BE40B3">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Prace budowlane oraz ruch pojazdów z nimi związany prowadzić wyłącznie w porze dnia, tj. w godz. 6.00—22.00.</w:t>
      </w:r>
    </w:p>
    <w:p w14:paraId="5324BD43" w14:textId="77777777" w:rsidR="00BE40B3" w:rsidRDefault="00BE40B3" w:rsidP="00BE40B3">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437D8FF4" w14:textId="77777777" w:rsidR="00BE40B3" w:rsidRDefault="00BE40B3" w:rsidP="00BE40B3">
      <w:pPr>
        <w:numPr>
          <w:ilvl w:val="0"/>
          <w:numId w:val="2"/>
        </w:numPr>
        <w:spacing w:after="0" w:line="276" w:lineRule="auto"/>
        <w:ind w:left="709" w:hanging="338"/>
        <w:jc w:val="both"/>
        <w:rPr>
          <w:rFonts w:ascii="Century Gothic" w:eastAsia="Times New Roman" w:hAnsi="Century Gothic" w:cs="Calibri"/>
          <w:bCs/>
          <w:kern w:val="0"/>
          <w:sz w:val="20"/>
          <w:szCs w:val="20"/>
          <w:u w:val="single"/>
          <w:lang w:eastAsia="pl-PL"/>
          <w14:ligatures w14:val="none"/>
        </w:rPr>
      </w:pPr>
      <w:r>
        <w:rPr>
          <w:rFonts w:ascii="Century Gothic" w:eastAsia="Times New Roman" w:hAnsi="Century Gothic" w:cs="Calibri"/>
          <w:bCs/>
          <w:iCs/>
          <w:kern w:val="0"/>
          <w:sz w:val="20"/>
          <w:szCs w:val="20"/>
          <w:u w:val="single"/>
          <w:lang w:eastAsia="pl-PL"/>
          <w14:ligatures w14:val="none"/>
        </w:rPr>
        <w:t>Wymagania dotyczące ochrony środowiska konieczne do uwzględnienia w projekcie budowlanym:</w:t>
      </w:r>
    </w:p>
    <w:p w14:paraId="43084A99" w14:textId="77777777" w:rsidR="00BE40B3" w:rsidRDefault="00BE40B3" w:rsidP="00BE40B3">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Pobór wody na potrzeby przedsięwzięcia realizować z zewnętrznej sieci wodociągowej.</w:t>
      </w:r>
    </w:p>
    <w:p w14:paraId="3022A9F2" w14:textId="77777777" w:rsidR="00BE40B3" w:rsidRDefault="00BE40B3" w:rsidP="00BE40B3">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Niezanieczyszczone masy ziemne i glebę występujące w stanie naturalnym, powstające w trakcie realizacji przedsięwzięcia, wykorzystać w pierwszej kolejności ponownie na terenie przedsięwzięcia.</w:t>
      </w:r>
    </w:p>
    <w:p w14:paraId="3CDE8500" w14:textId="77777777" w:rsidR="00BE40B3" w:rsidRDefault="00BE40B3" w:rsidP="00BE40B3">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 xml:space="preserve">Nie wycinać drzew i krzewów w związku z realizacją przedsięwzięcia. </w:t>
      </w:r>
    </w:p>
    <w:p w14:paraId="3FA133E8" w14:textId="77777777" w:rsidR="00BE40B3" w:rsidRDefault="00BE40B3" w:rsidP="00BE40B3">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Ścieki bytowe odprowadzać do sieci kanalizacji sanitarnej. Dopuszcza się ich odprowadzanie do szczelnych zbiorników bezodpływowych jedynie w przypadku braku możliwości podłączenia domów do sieci kanalizacji sanitarnej. Podłączenie do sieci kanalizacji sanitarnej wykonać niezwłocznie, jak to będzie technicznie możliwe.</w:t>
      </w:r>
    </w:p>
    <w:p w14:paraId="26511C21" w14:textId="77777777" w:rsidR="00BE40B3" w:rsidRDefault="00BE40B3" w:rsidP="00BE40B3">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hAnsi="Century Gothic" w:cs="Calibri"/>
          <w:sz w:val="20"/>
          <w:szCs w:val="20"/>
        </w:rPr>
        <w:t>Wody opadowe i roztopowe z dachów i terenów utwardzonych odprowadzać w sposób niezorganizowany do gruntu lub do zbiorników retencyjnych, bez powodowania szkody na gruntach sąsiednich.</w:t>
      </w:r>
    </w:p>
    <w:p w14:paraId="10B0F775" w14:textId="77777777" w:rsidR="00BE40B3" w:rsidRDefault="00BE40B3" w:rsidP="00BE40B3">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terenie inwestycyjnym należy zachować możliwość infiltracji wód opadowych do gruntu przynajmniej na powierzchni 50 % łącznej powierzchni działek inwestycyjnych (tereny zielone, niecki </w:t>
      </w:r>
      <w:proofErr w:type="spellStart"/>
      <w:r>
        <w:rPr>
          <w:rFonts w:ascii="Century Gothic" w:eastAsia="Times New Roman" w:hAnsi="Century Gothic" w:cs="Calibri"/>
          <w:kern w:val="0"/>
          <w:sz w:val="20"/>
          <w:szCs w:val="20"/>
          <w14:ligatures w14:val="none"/>
        </w:rPr>
        <w:t>bioretencyjne</w:t>
      </w:r>
      <w:proofErr w:type="spellEnd"/>
      <w:r>
        <w:rPr>
          <w:rFonts w:ascii="Century Gothic" w:eastAsia="Times New Roman" w:hAnsi="Century Gothic" w:cs="Calibri"/>
          <w:kern w:val="0"/>
          <w:sz w:val="20"/>
          <w:szCs w:val="20"/>
          <w14:ligatures w14:val="none"/>
        </w:rPr>
        <w:t xml:space="preserve">, utwardzenia z możliwością wsiąkania, nawierzchnie wodoprzepuszczalne, płyty ażurowe itp.). </w:t>
      </w:r>
    </w:p>
    <w:p w14:paraId="7011F255" w14:textId="77777777" w:rsidR="00BE40B3" w:rsidRDefault="00BE40B3" w:rsidP="00BE40B3">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lastRenderedPageBreak/>
        <w:t xml:space="preserve">Inwestycję należy zlokalizować w taki sposób, aby nie uszkodzić sieci drenarskiej (w przypadku jej występowania); jeśli w trakcie realizacji przedsięwzięcia dojdzie do jej uszkodzenia, należy sieć naprawić/przebudować, aby zapewnić swobodny przepływ wody i uniknąć podtopienia gruntów (własnych i sąsiednich). </w:t>
      </w:r>
    </w:p>
    <w:p w14:paraId="7B8A94DF" w14:textId="77777777" w:rsidR="00BE40B3" w:rsidRDefault="00BE40B3" w:rsidP="00BE40B3">
      <w:pPr>
        <w:spacing w:line="276" w:lineRule="auto"/>
        <w:jc w:val="both"/>
        <w:rPr>
          <w:rFonts w:ascii="Century Gothic" w:hAnsi="Century Gothic" w:cs="Calibri"/>
          <w:bCs/>
          <w:iCs/>
          <w:sz w:val="20"/>
          <w:szCs w:val="20"/>
          <w:lang w:eastAsia="pl-PL"/>
        </w:rPr>
      </w:pPr>
      <w:r>
        <w:rPr>
          <w:rFonts w:ascii="Century Gothic" w:hAnsi="Century Gothic" w:cs="Calibri"/>
          <w:b/>
          <w:bCs/>
          <w:iCs/>
          <w:sz w:val="20"/>
          <w:szCs w:val="20"/>
        </w:rPr>
        <w:t xml:space="preserve">III.  Ustalić </w:t>
      </w:r>
      <w:r>
        <w:rPr>
          <w:rFonts w:ascii="Century Gothic" w:hAnsi="Century Gothic" w:cs="Calibri"/>
          <w:bCs/>
          <w:iCs/>
          <w:sz w:val="20"/>
          <w:szCs w:val="20"/>
        </w:rPr>
        <w:t>charakterystykę planowanego przedsięwzięcia zawartą w załączniku do niniejszej decyzji jako jej integralną część.</w:t>
      </w:r>
    </w:p>
    <w:p w14:paraId="0E7E21BB" w14:textId="77777777" w:rsidR="00BE40B3" w:rsidRDefault="00BE40B3" w:rsidP="00BE40B3">
      <w:pPr>
        <w:keepNext/>
        <w:spacing w:after="120" w:line="276" w:lineRule="auto"/>
        <w:jc w:val="center"/>
        <w:outlineLvl w:val="1"/>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Uzasadnienie</w:t>
      </w:r>
    </w:p>
    <w:p w14:paraId="17E0BA02" w14:textId="3C3DCE3B" w:rsidR="00BE40B3" w:rsidRDefault="00BE40B3" w:rsidP="00BE40B3">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14:ligatures w14:val="none"/>
        </w:rPr>
        <w:t xml:space="preserve">1.  </w:t>
      </w:r>
      <w:r>
        <w:rPr>
          <w:rFonts w:ascii="Century Gothic" w:eastAsia="Times New Roman" w:hAnsi="Century Gothic" w:cs="Calibri"/>
          <w:kern w:val="0"/>
          <w:sz w:val="20"/>
          <w:szCs w:val="20"/>
          <w:lang w:eastAsia="pl-PL"/>
          <w14:ligatures w14:val="none"/>
        </w:rPr>
        <w:t xml:space="preserve">Wnioskiem z dnia 5 listopada 2025 r. (data wpływu 27.02.2026 r.) </w:t>
      </w:r>
      <w:r>
        <w:rPr>
          <w:rFonts w:ascii="Century Gothic" w:eastAsia="Times New Roman" w:hAnsi="Century Gothic" w:cs="Times New Roman"/>
          <w:kern w:val="0"/>
          <w:sz w:val="20"/>
          <w:szCs w:val="20"/>
          <w14:ligatures w14:val="none"/>
        </w:rPr>
        <w:t>Inwestor</w:t>
      </w:r>
      <w:r>
        <w:rPr>
          <w:rFonts w:ascii="Century Gothic" w:hAnsi="Century Gothic"/>
          <w:sz w:val="20"/>
          <w:szCs w:val="20"/>
        </w:rPr>
        <w:t xml:space="preserve"> Pan Piotr Z</w:t>
      </w:r>
      <w:r>
        <w:rPr>
          <w:rFonts w:ascii="Century Gothic" w:hAnsi="Century Gothic"/>
          <w:sz w:val="20"/>
          <w:szCs w:val="20"/>
        </w:rPr>
        <w:t>.</w:t>
      </w:r>
      <w:r>
        <w:rPr>
          <w:rFonts w:ascii="Century Gothic" w:hAnsi="Century Gothic"/>
          <w:sz w:val="20"/>
          <w:szCs w:val="20"/>
        </w:rPr>
        <w:t xml:space="preserve"> reprezentowany przez Pełnomocnika Panią Barbarę Pacyńską ul. Wełnicka 9, 62-200 Gniezno </w:t>
      </w:r>
      <w:r>
        <w:rPr>
          <w:rFonts w:ascii="Century Gothic" w:eastAsia="Times New Roman" w:hAnsi="Century Gothic" w:cs="Calibri"/>
          <w:kern w:val="0"/>
          <w:sz w:val="20"/>
          <w:szCs w:val="20"/>
          <w:lang w:eastAsia="pl-PL"/>
          <w14:ligatures w14:val="none"/>
        </w:rPr>
        <w:t xml:space="preserve">zwrócił się do Wójta Gminy Gniezno o wydanie decyzji o środowiskowych uwarunkowaniach dla przedsięwzięcia polegającego </w:t>
      </w:r>
      <w:r>
        <w:rPr>
          <w:rFonts w:ascii="Century Gothic" w:eastAsia="Times New Roman" w:hAnsi="Century Gothic" w:cs="Calibri"/>
          <w:kern w:val="0"/>
          <w:sz w:val="20"/>
          <w:szCs w:val="20"/>
          <w14:ligatures w14:val="none"/>
        </w:rPr>
        <w:t>na</w:t>
      </w:r>
      <w:r>
        <w:rPr>
          <w:rFonts w:ascii="Century Gothic" w:hAnsi="Century Gothic"/>
          <w:sz w:val="20"/>
          <w:szCs w:val="20"/>
        </w:rPr>
        <w:t xml:space="preserve"> </w:t>
      </w:r>
      <w:r>
        <w:rPr>
          <w:rFonts w:ascii="Century Gothic" w:eastAsia="Calibri" w:hAnsi="Century Gothic" w:cs="Cambria"/>
          <w:sz w:val="20"/>
          <w:szCs w:val="20"/>
        </w:rPr>
        <w:t>budowie</w:t>
      </w:r>
      <w:r>
        <w:rPr>
          <w:rFonts w:ascii="Century Gothic" w:hAnsi="Century Gothic"/>
          <w:sz w:val="20"/>
          <w:szCs w:val="20"/>
        </w:rPr>
        <w:t xml:space="preserve"> 4 budynków mieszkalnych jednorodzinnych w zabudowie wolnostojącej wraz z drogami wewnętrznymi i niezbędną infrastrukturą techniczną w miejscowości Kalina, Gmina Gniezno, działka nr 78/2</w:t>
      </w:r>
      <w:r>
        <w:rPr>
          <w:rFonts w:ascii="Century Gothic" w:eastAsia="Times New Roman" w:hAnsi="Century Gothic" w:cs="Times New Roman"/>
          <w:kern w:val="0"/>
          <w:sz w:val="20"/>
          <w:szCs w:val="20"/>
          <w14:ligatures w14:val="none"/>
        </w:rPr>
        <w:t xml:space="preserve">, </w:t>
      </w:r>
      <w:r>
        <w:rPr>
          <w:rFonts w:ascii="Century Gothic" w:eastAsia="Times New Roman" w:hAnsi="Century Gothic" w:cs="Calibri"/>
          <w:kern w:val="0"/>
          <w:sz w:val="20"/>
          <w:szCs w:val="20"/>
          <w:lang w:eastAsia="pl-PL"/>
          <w14:ligatures w14:val="none"/>
        </w:rPr>
        <w:t>dołączając do wniosku kartę informacyjną przedsięwzięcia (również w wersji elektronicznej), poświadczoną przez właściwy organ mapę zasadniczą w skali 1:1000, obejmującą przewidywany teren na którym będzie realizowane przedsięwzięcie oraz obejmującą przewidywany obszar, na który będzie oddziaływać przedsięwzięcie, (również w wersji elektronicznej) oraz pełnomocnictwo z opłata skarbową.</w:t>
      </w:r>
    </w:p>
    <w:p w14:paraId="234CA59C" w14:textId="77777777" w:rsidR="00BE40B3" w:rsidRDefault="00BE40B3" w:rsidP="00BE40B3">
      <w:pPr>
        <w:widowControl w:val="0"/>
        <w:spacing w:after="0" w:line="276" w:lineRule="auto"/>
        <w:ind w:right="74"/>
        <w:contextualSpacing/>
        <w:jc w:val="both"/>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14:ligatures w14:val="none"/>
        </w:rPr>
        <w:t xml:space="preserve">2. </w:t>
      </w:r>
      <w:r>
        <w:rPr>
          <w:rFonts w:ascii="Century Gothic" w:eastAsia="Times New Roman" w:hAnsi="Century Gothic" w:cs="Times New Roman"/>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0"/>
          <w:szCs w:val="20"/>
          <w:lang w:eastAsia="pl-PL"/>
          <w14:ligatures w14:val="none"/>
        </w:rPr>
        <w:t>ooś</w:t>
      </w:r>
      <w:proofErr w:type="spellEnd"/>
      <w:r>
        <w:rPr>
          <w:rFonts w:ascii="Century Gothic" w:eastAsia="Times New Roman" w:hAnsi="Century Gothic" w:cs="Times New Roman"/>
          <w:kern w:val="0"/>
          <w:sz w:val="20"/>
          <w:szCs w:val="20"/>
          <w:lang w:eastAsia="pl-PL"/>
          <w14:ligatures w14:val="none"/>
        </w:rPr>
        <w:t xml:space="preserve">, stwierdzono, że organem właściwym do wydania decyzji o środowiskowych uwarunkowaniach jest Wójt Gminy Gniezno. </w:t>
      </w:r>
    </w:p>
    <w:p w14:paraId="4E7A2511" w14:textId="77777777" w:rsidR="00BE40B3" w:rsidRDefault="00BE40B3" w:rsidP="00BE40B3">
      <w:p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3. Planowane przedsięwzięcie należy do przedsięwzięć mogących potencjalnie znacząco oddziaływać na środowisko – wymienione jest </w:t>
      </w:r>
      <w:r>
        <w:rPr>
          <w:rFonts w:ascii="Century Gothic" w:hAnsi="Century Gothic"/>
          <w:bCs/>
          <w:sz w:val="20"/>
          <w:szCs w:val="20"/>
        </w:rPr>
        <w:t xml:space="preserve">w § 3 ust. 1 pkt 55 lit. b </w:t>
      </w:r>
      <w:proofErr w:type="spellStart"/>
      <w:r>
        <w:rPr>
          <w:rFonts w:ascii="Century Gothic" w:hAnsi="Century Gothic"/>
          <w:bCs/>
          <w:sz w:val="20"/>
          <w:szCs w:val="20"/>
        </w:rPr>
        <w:t>tiret</w:t>
      </w:r>
      <w:proofErr w:type="spellEnd"/>
      <w:r>
        <w:rPr>
          <w:rFonts w:ascii="Century Gothic" w:hAnsi="Century Gothic"/>
          <w:bCs/>
          <w:sz w:val="20"/>
          <w:szCs w:val="20"/>
        </w:rPr>
        <w:t xml:space="preserve"> pierwsze </w:t>
      </w:r>
      <w:r>
        <w:rPr>
          <w:rFonts w:ascii="Century Gothic" w:eastAsia="Times New Roman" w:hAnsi="Century Gothic" w:cs="Calibri"/>
          <w:bCs/>
          <w:kern w:val="0"/>
          <w:sz w:val="20"/>
          <w:szCs w:val="20"/>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0"/>
          <w:szCs w:val="20"/>
          <w:lang w:eastAsia="pl-PL"/>
          <w14:ligatures w14:val="none"/>
        </w:rPr>
        <w:t xml:space="preserve"> Wobec</w:t>
      </w:r>
      <w:r>
        <w:rPr>
          <w:rFonts w:ascii="Century Gothic" w:eastAsia="Times New Roman" w:hAnsi="Century Gothic" w:cs="Calibri"/>
          <w:spacing w:val="24"/>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powyż</w:t>
      </w:r>
      <w:r>
        <w:rPr>
          <w:rFonts w:ascii="Century Gothic" w:eastAsia="Times New Roman" w:hAnsi="Century Gothic" w:cs="Calibri"/>
          <w:spacing w:val="-17"/>
          <w:kern w:val="0"/>
          <w:sz w:val="20"/>
          <w:szCs w:val="20"/>
          <w:lang w:eastAsia="pl-PL"/>
          <w14:ligatures w14:val="none"/>
        </w:rPr>
        <w:t>s</w:t>
      </w:r>
      <w:r>
        <w:rPr>
          <w:rFonts w:ascii="Century Gothic" w:eastAsia="Times New Roman" w:hAnsi="Century Gothic" w:cs="Calibri"/>
          <w:kern w:val="0"/>
          <w:sz w:val="20"/>
          <w:szCs w:val="20"/>
          <w:lang w:eastAsia="pl-PL"/>
          <w14:ligatures w14:val="none"/>
        </w:rPr>
        <w:t>zego</w:t>
      </w:r>
      <w:r>
        <w:rPr>
          <w:rFonts w:ascii="Century Gothic" w:eastAsia="Times New Roman" w:hAnsi="Century Gothic" w:cs="Calibri"/>
          <w:spacing w:val="4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przedmiotowe</w:t>
      </w:r>
      <w:r>
        <w:rPr>
          <w:rFonts w:ascii="Century Gothic" w:eastAsia="Times New Roman" w:hAnsi="Century Gothic" w:cs="Calibri"/>
          <w:spacing w:val="3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przedsięwzięcie</w:t>
      </w:r>
      <w:r>
        <w:rPr>
          <w:rFonts w:ascii="Century Gothic" w:eastAsia="Times New Roman" w:hAnsi="Century Gothic" w:cs="Calibri"/>
          <w:spacing w:val="1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zalicza</w:t>
      </w:r>
      <w:r>
        <w:rPr>
          <w:rFonts w:ascii="Century Gothic" w:eastAsia="Times New Roman" w:hAnsi="Century Gothic" w:cs="Calibri"/>
          <w:spacing w:val="13"/>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się do</w:t>
      </w:r>
      <w:r>
        <w:rPr>
          <w:rFonts w:ascii="Century Gothic" w:eastAsia="Times New Roman" w:hAnsi="Century Gothic" w:cs="Calibri"/>
          <w:spacing w:val="1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przedsięwzięć</w:t>
      </w:r>
      <w:r>
        <w:rPr>
          <w:rFonts w:ascii="Century Gothic" w:eastAsia="Times New Roman" w:hAnsi="Century Gothic" w:cs="Calibri"/>
          <w:spacing w:val="1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mogących potencjalnie </w:t>
      </w:r>
      <w:r>
        <w:rPr>
          <w:rFonts w:ascii="Century Gothic" w:eastAsia="Times New Roman" w:hAnsi="Century Gothic" w:cs="Calibri"/>
          <w:spacing w:val="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znacząco</w:t>
      </w:r>
      <w:r>
        <w:rPr>
          <w:rFonts w:ascii="Century Gothic" w:eastAsia="Times New Roman" w:hAnsi="Century Gothic" w:cs="Calibri"/>
          <w:spacing w:val="-1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oddziaływać </w:t>
      </w:r>
      <w:r>
        <w:rPr>
          <w:rFonts w:ascii="Century Gothic" w:eastAsia="Times New Roman" w:hAnsi="Century Gothic" w:cs="Calibri"/>
          <w:spacing w:val="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w:t>
      </w:r>
      <w:r>
        <w:rPr>
          <w:rFonts w:ascii="Century Gothic" w:eastAsia="Times New Roman" w:hAnsi="Century Gothic" w:cs="Calibri"/>
          <w:spacing w:val="2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środowisko,</w:t>
      </w:r>
      <w:r>
        <w:rPr>
          <w:rFonts w:ascii="Century Gothic" w:eastAsia="Times New Roman" w:hAnsi="Century Gothic" w:cs="Calibri"/>
          <w:spacing w:val="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dla</w:t>
      </w:r>
      <w:r>
        <w:rPr>
          <w:rFonts w:ascii="Century Gothic" w:eastAsia="Times New Roman" w:hAnsi="Century Gothic" w:cs="Calibri"/>
          <w:spacing w:val="4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których</w:t>
      </w:r>
      <w:r>
        <w:rPr>
          <w:rFonts w:ascii="Century Gothic" w:eastAsia="Times New Roman" w:hAnsi="Century Gothic" w:cs="Calibri"/>
          <w:spacing w:val="4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obowiązek</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2"/>
          <w:kern w:val="0"/>
          <w:sz w:val="20"/>
          <w:szCs w:val="20"/>
          <w:lang w:eastAsia="pl-PL"/>
          <w14:ligatures w14:val="none"/>
        </w:rPr>
        <w:t>przeprowa</w:t>
      </w:r>
      <w:r>
        <w:rPr>
          <w:rFonts w:ascii="Century Gothic" w:eastAsia="Times New Roman" w:hAnsi="Century Gothic" w:cs="Calibri"/>
          <w:spacing w:val="11"/>
          <w:w w:val="103"/>
          <w:kern w:val="0"/>
          <w:sz w:val="20"/>
          <w:szCs w:val="20"/>
          <w:lang w:eastAsia="pl-PL"/>
          <w14:ligatures w14:val="none"/>
        </w:rPr>
        <w:t>d</w:t>
      </w:r>
      <w:r>
        <w:rPr>
          <w:rFonts w:ascii="Century Gothic" w:eastAsia="Times New Roman" w:hAnsi="Century Gothic" w:cs="Calibri"/>
          <w:w w:val="107"/>
          <w:kern w:val="0"/>
          <w:sz w:val="20"/>
          <w:szCs w:val="20"/>
          <w:lang w:eastAsia="pl-PL"/>
          <w14:ligatures w14:val="none"/>
        </w:rPr>
        <w:t>z</w:t>
      </w:r>
      <w:r>
        <w:rPr>
          <w:rFonts w:ascii="Century Gothic" w:eastAsia="Times New Roman" w:hAnsi="Century Gothic" w:cs="Calibri"/>
          <w:spacing w:val="-3"/>
          <w:w w:val="107"/>
          <w:kern w:val="0"/>
          <w:sz w:val="20"/>
          <w:szCs w:val="20"/>
          <w:lang w:eastAsia="pl-PL"/>
          <w14:ligatures w14:val="none"/>
        </w:rPr>
        <w:t>e</w:t>
      </w:r>
      <w:r>
        <w:rPr>
          <w:rFonts w:ascii="Century Gothic" w:eastAsia="Times New Roman" w:hAnsi="Century Gothic" w:cs="Calibri"/>
          <w:w w:val="99"/>
          <w:kern w:val="0"/>
          <w:sz w:val="20"/>
          <w:szCs w:val="20"/>
          <w:lang w:eastAsia="pl-PL"/>
          <w14:ligatures w14:val="none"/>
        </w:rPr>
        <w:t xml:space="preserve">nia </w:t>
      </w:r>
      <w:r>
        <w:rPr>
          <w:rFonts w:ascii="Century Gothic" w:eastAsia="Times New Roman" w:hAnsi="Century Gothic" w:cs="Calibri"/>
          <w:kern w:val="0"/>
          <w:sz w:val="20"/>
          <w:szCs w:val="20"/>
          <w:lang w:eastAsia="pl-PL"/>
          <w14:ligatures w14:val="none"/>
        </w:rPr>
        <w:t>oceny</w:t>
      </w:r>
      <w:r>
        <w:rPr>
          <w:rFonts w:ascii="Century Gothic" w:eastAsia="Times New Roman" w:hAnsi="Century Gothic" w:cs="Calibri"/>
          <w:spacing w:val="2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oddziaływania</w:t>
      </w:r>
      <w:r>
        <w:rPr>
          <w:rFonts w:ascii="Century Gothic" w:eastAsia="Times New Roman" w:hAnsi="Century Gothic" w:cs="Calibri"/>
          <w:spacing w:val="4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 środowisko</w:t>
      </w:r>
      <w:r>
        <w:rPr>
          <w:rFonts w:ascii="Century Gothic" w:eastAsia="Times New Roman" w:hAnsi="Century Gothic" w:cs="Calibri"/>
          <w:spacing w:val="40"/>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może</w:t>
      </w:r>
      <w:r>
        <w:rPr>
          <w:rFonts w:ascii="Century Gothic" w:eastAsia="Times New Roman" w:hAnsi="Century Gothic" w:cs="Calibri"/>
          <w:spacing w:val="2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być</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3"/>
          <w:kern w:val="0"/>
          <w:sz w:val="20"/>
          <w:szCs w:val="20"/>
          <w:lang w:eastAsia="pl-PL"/>
          <w14:ligatures w14:val="none"/>
        </w:rPr>
        <w:t>stwierdzony.</w:t>
      </w:r>
    </w:p>
    <w:p w14:paraId="3EECDD62" w14:textId="77777777" w:rsidR="00BE40B3" w:rsidRDefault="00BE40B3" w:rsidP="00BE40B3">
      <w:pPr>
        <w:spacing w:after="0" w:line="276" w:lineRule="auto"/>
        <w:jc w:val="both"/>
        <w:rPr>
          <w:rFonts w:ascii="Century Gothic" w:eastAsia="Calibri" w:hAnsi="Century Gothic" w:cs="Calibri"/>
          <w:kern w:val="0"/>
          <w:sz w:val="20"/>
          <w:szCs w:val="20"/>
          <w:lang w:eastAsia="pl-PL"/>
          <w14:ligatures w14:val="none"/>
        </w:rPr>
      </w:pPr>
      <w:r>
        <w:rPr>
          <w:rFonts w:ascii="Century Gothic" w:eastAsia="Calibri" w:hAnsi="Century Gothic" w:cs="Calibri"/>
          <w:kern w:val="0"/>
          <w:sz w:val="20"/>
          <w:szCs w:val="20"/>
          <w:lang w:eastAsia="pl-PL"/>
          <w14:ligatures w14:val="none"/>
        </w:rPr>
        <w:t xml:space="preserve">4. Dane o wniosku zostały zamieszczone w publicznie dostępnym wykazie danych, </w:t>
      </w:r>
      <w:r>
        <w:rPr>
          <w:rFonts w:ascii="Century Gothic" w:eastAsia="Calibri" w:hAnsi="Century Gothic" w:cs="Calibri"/>
          <w:kern w:val="0"/>
          <w:sz w:val="20"/>
          <w:szCs w:val="20"/>
          <w:lang w:eastAsia="pl-PL"/>
          <w14:ligatures w14:val="none"/>
        </w:rPr>
        <w:br/>
        <w:t xml:space="preserve">z którym można się zapoznać w Urzędzie Gminy Gniezno, al. Reymonta 9-11, pokój nr 9, w godzinach urzędowania oraz </w:t>
      </w:r>
      <w:bookmarkStart w:id="2" w:name="_Hlk214272769"/>
      <w:r>
        <w:rPr>
          <w:rFonts w:ascii="Century Gothic" w:eastAsia="Calibri" w:hAnsi="Century Gothic" w:cs="Calibri"/>
          <w:kern w:val="0"/>
          <w:sz w:val="20"/>
          <w:szCs w:val="20"/>
          <w:lang w:eastAsia="pl-PL"/>
          <w14:ligatures w14:val="none"/>
        </w:rPr>
        <w:t xml:space="preserve">na stronie internetowej </w:t>
      </w:r>
      <w:r>
        <w:rPr>
          <w:rFonts w:ascii="Century Gothic" w:hAnsi="Century Gothic"/>
          <w:sz w:val="20"/>
          <w:szCs w:val="20"/>
        </w:rPr>
        <w:t>https://gniezno.e-mapa.net/ekoportal/– centrum informacji o środowisku.</w:t>
      </w:r>
      <w:bookmarkEnd w:id="2"/>
    </w:p>
    <w:p w14:paraId="1FF5DB22" w14:textId="77777777" w:rsidR="00BE40B3" w:rsidRDefault="00BE40B3" w:rsidP="00BE40B3">
      <w:pPr>
        <w:spacing w:after="0" w:line="276" w:lineRule="auto"/>
        <w:jc w:val="both"/>
        <w:rPr>
          <w:rFonts w:ascii="Century Gothic" w:eastAsia="Times New Roman" w:hAnsi="Century Gothic" w:cs="Times New Roman"/>
          <w:b/>
          <w:kern w:val="0"/>
          <w:sz w:val="20"/>
          <w:szCs w:val="20"/>
          <w14:ligatures w14:val="none"/>
        </w:rPr>
      </w:pPr>
      <w:r>
        <w:rPr>
          <w:rFonts w:ascii="Century Gothic" w:eastAsia="Times New Roman" w:hAnsi="Century Gothic" w:cs="Calibri"/>
          <w:w w:val="103"/>
          <w:kern w:val="0"/>
          <w:sz w:val="20"/>
          <w:szCs w:val="20"/>
          <w14:ligatures w14:val="none"/>
        </w:rPr>
        <w:t xml:space="preserve">5. </w:t>
      </w:r>
      <w:r>
        <w:rPr>
          <w:rFonts w:ascii="Century Gothic" w:hAnsi="Century Gothic" w:cs="Calibri"/>
          <w:w w:val="103"/>
          <w:sz w:val="20"/>
          <w:szCs w:val="20"/>
        </w:rPr>
        <w:t>W związku</w:t>
      </w:r>
      <w:r>
        <w:rPr>
          <w:rFonts w:ascii="Century Gothic" w:hAnsi="Century Gothic"/>
          <w:sz w:val="20"/>
          <w:szCs w:val="20"/>
        </w:rPr>
        <w:t xml:space="preserve"> z tym, iż liczba stron przedmiotowego postępowania przekraczała 10, Wójt Gminy Gniezno zawiadomił strony postępowania administracyjnego w formie Obwieszczenia (znak OŚR. 6220.3.2026 z dnia 5 marca 2026 r.) o wszczętym w dniu 27 lutego 2026 r. postępowaniu w sprawie wydania decyzji o środowiskowych uwarunkowaniach dla wnioskowanego przedsięwzięcia informując o możliwości zapoznania się z aktami sprawy.</w:t>
      </w:r>
    </w:p>
    <w:p w14:paraId="35E47BB9" w14:textId="77777777" w:rsidR="00BE40B3" w:rsidRDefault="00BE40B3" w:rsidP="00BE40B3">
      <w:pPr>
        <w:spacing w:after="0" w:line="276" w:lineRule="auto"/>
        <w:jc w:val="both"/>
        <w:rPr>
          <w:rFonts w:ascii="Century Gothic" w:eastAsia="Calibri" w:hAnsi="Century Gothic" w:cs="Calibri"/>
          <w:sz w:val="20"/>
          <w:szCs w:val="20"/>
        </w:rPr>
      </w:pPr>
      <w:r>
        <w:rPr>
          <w:rFonts w:ascii="Century Gothic" w:eastAsia="Calibri" w:hAnsi="Century Gothic" w:cs="Calibri"/>
          <w:kern w:val="0"/>
          <w:sz w:val="20"/>
          <w:szCs w:val="20"/>
          <w:lang w:eastAsia="pl-PL"/>
          <w14:ligatures w14:val="none"/>
        </w:rPr>
        <w:t xml:space="preserve">6. Zgodnie </w:t>
      </w:r>
      <w:r>
        <w:rPr>
          <w:rFonts w:ascii="Century Gothic" w:eastAsia="Calibri" w:hAnsi="Century Gothic" w:cs="Calibri"/>
          <w:sz w:val="20"/>
          <w:szCs w:val="20"/>
        </w:rPr>
        <w:t xml:space="preserve">z art. 64 ust. 1 pkt 1, 2 i 4, ust. 2, 3 i 4 ustawy z dnia 3 października </w:t>
      </w:r>
      <w:r>
        <w:rPr>
          <w:rFonts w:ascii="Century Gothic" w:eastAsia="Calibri" w:hAnsi="Century Gothic" w:cs="Calibri"/>
          <w:bCs/>
          <w:sz w:val="20"/>
          <w:szCs w:val="20"/>
        </w:rPr>
        <w:t>2008 roku o udostępnianiu informacji o środowisku i jego ochronie, udziale społeczeństwa w ochronie środowiska oraz o ocenach oddziaływania na środowisko</w:t>
      </w:r>
      <w:r>
        <w:rPr>
          <w:rFonts w:ascii="Century Gothic" w:eastAsia="Calibri" w:hAnsi="Century Gothic" w:cs="Calibri"/>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0"/>
          <w:szCs w:val="20"/>
        </w:rPr>
        <w:t xml:space="preserve">Organy te wydały opinie/postanowienia stwierdzające brak potrzeby przeprowadzania oceny oddziaływania przedmiotowego przedsięwzięcia na środowisko (brak </w:t>
      </w:r>
      <w:r>
        <w:rPr>
          <w:rFonts w:ascii="Century Gothic" w:eastAsia="Times New Roman" w:hAnsi="Century Gothic" w:cs="Calibri"/>
          <w:sz w:val="20"/>
          <w:szCs w:val="20"/>
        </w:rPr>
        <w:lastRenderedPageBreak/>
        <w:t>potrzeby wykonania raportu dla ww. przedsięwzięcia). Poniżej przedmiotowe opinie/ postanowienia:</w:t>
      </w:r>
    </w:p>
    <w:p w14:paraId="196B2FEB" w14:textId="77777777" w:rsidR="00BE40B3" w:rsidRDefault="00BE40B3" w:rsidP="00BE40B3">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Postanowienie Regionalnego Dyrektora Ochrony Środowiska w Poznaniu z dnia 24 marca 2026 r. znak WOO-IV.4220.330.2026.DG.1 (data wpływu 24.03.2026 r.), </w:t>
      </w:r>
    </w:p>
    <w:p w14:paraId="4019F754" w14:textId="77777777" w:rsidR="00BE40B3" w:rsidRDefault="00BE40B3" w:rsidP="00BE40B3">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Opinia sanitarna Państwowego Powiatowego Inspektora Sanitarnego w Gnieźnie z dnia 20 marca 2026 r. znak ON-NS.9022.5.10.2026 (data wpływu 20.03.2026 r.), </w:t>
      </w:r>
    </w:p>
    <w:p w14:paraId="3F322AC1" w14:textId="77777777" w:rsidR="00BE40B3" w:rsidRDefault="00BE40B3" w:rsidP="00BE40B3">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Opinia Dyrektora Zarządu Zlewni Wód Polskich w Poznaniu z dnia 30 marca 2026 r. znak PZ.ZZŚ.4130.116.2026.KN.1 (data wpływu 30.03.2026 r.),</w:t>
      </w:r>
      <w:r>
        <w:rPr>
          <w:rFonts w:ascii="Century Gothic" w:hAnsi="Century Gothic" w:cs="Calibri"/>
          <w:sz w:val="20"/>
          <w:szCs w:val="20"/>
          <w:lang w:eastAsia="pl-PL"/>
        </w:rPr>
        <w:tab/>
      </w:r>
    </w:p>
    <w:p w14:paraId="029F14C5" w14:textId="77777777" w:rsidR="00BE40B3" w:rsidRDefault="00BE40B3" w:rsidP="00BE40B3">
      <w:pPr>
        <w:spacing w:after="0" w:line="276" w:lineRule="auto"/>
        <w:ind w:left="720"/>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Warunki i wymagania określone w ww. dokumentach zostały uwzględnione w sentencji niniejszej decyzji. </w:t>
      </w:r>
    </w:p>
    <w:p w14:paraId="2BEC7733" w14:textId="77777777" w:rsidR="00BE40B3" w:rsidRDefault="00BE40B3" w:rsidP="00BE40B3">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7.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29A5AAC2" w14:textId="77777777" w:rsidR="00BE40B3" w:rsidRDefault="00BE40B3" w:rsidP="00BE40B3">
      <w:pPr>
        <w:numPr>
          <w:ilvl w:val="0"/>
          <w:numId w:val="4"/>
        </w:numPr>
        <w:spacing w:after="0" w:line="276" w:lineRule="auto"/>
        <w:jc w:val="both"/>
        <w:rPr>
          <w:rFonts w:ascii="Century Gothic" w:hAnsi="Century Gothic"/>
          <w:bCs/>
          <w:iCs/>
          <w:sz w:val="20"/>
          <w:szCs w:val="20"/>
        </w:rPr>
      </w:pPr>
      <w:r>
        <w:rPr>
          <w:rFonts w:ascii="Century Gothic" w:eastAsia="Times New Roman" w:hAnsi="Century Gothic" w:cs="Calibri"/>
          <w:b/>
          <w:i/>
          <w:kern w:val="0"/>
          <w:sz w:val="20"/>
          <w:szCs w:val="20"/>
          <w:lang w:eastAsia="pl-PL"/>
          <w14:ligatures w14:val="none"/>
        </w:rPr>
        <w:t xml:space="preserve">rodzaj i charakterystyka przedsięwzięcia </w:t>
      </w:r>
      <w:r>
        <w:rPr>
          <w:rFonts w:ascii="Century Gothic" w:eastAsia="Times New Roman" w:hAnsi="Century Gothic" w:cs="Calibri"/>
          <w:i/>
          <w:kern w:val="0"/>
          <w:sz w:val="20"/>
          <w:szCs w:val="20"/>
          <w:lang w:eastAsia="pl-PL"/>
          <w14:ligatures w14:val="none"/>
        </w:rPr>
        <w:t xml:space="preserve">(art. 63 ust. 1 pkt 1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w:t>
      </w:r>
      <w:bookmarkStart w:id="3" w:name="_Hlk214366972"/>
      <w:r>
        <w:rPr>
          <w:rFonts w:ascii="Century Gothic" w:eastAsia="Times New Roman" w:hAnsi="Century Gothic" w:cs="Calibri"/>
          <w:kern w:val="0"/>
          <w:sz w:val="20"/>
          <w:szCs w:val="20"/>
          <w:lang w:eastAsia="pl-PL"/>
          <w14:ligatures w14:val="none"/>
        </w:rPr>
        <w:t>planowane przedsięwzięcie polegać będzie</w:t>
      </w:r>
      <w:r>
        <w:rPr>
          <w:rFonts w:ascii="Century Gothic" w:hAnsi="Century Gothic"/>
          <w:sz w:val="20"/>
          <w:szCs w:val="20"/>
        </w:rPr>
        <w:t xml:space="preserve"> na </w:t>
      </w:r>
      <w:r>
        <w:rPr>
          <w:rFonts w:ascii="Century Gothic" w:eastAsia="Calibri" w:hAnsi="Century Gothic" w:cs="Cambria"/>
          <w:sz w:val="20"/>
          <w:szCs w:val="20"/>
        </w:rPr>
        <w:t>budowie</w:t>
      </w:r>
      <w:r>
        <w:rPr>
          <w:rFonts w:ascii="Century Gothic" w:hAnsi="Century Gothic"/>
          <w:sz w:val="20"/>
          <w:szCs w:val="20"/>
        </w:rPr>
        <w:t xml:space="preserve"> 4 budynków mieszkalnych jednorodzinnych w zabudowie wolnostojącej wraz z drogami wewnętrznymi i niezbędną infrastrukturą techniczną w miejscowości Kalina, Gmina Gniezno, działka nr 78/2</w:t>
      </w:r>
      <w:r>
        <w:rPr>
          <w:rFonts w:ascii="Century Gothic" w:hAnsi="Century Gothic"/>
          <w:b/>
          <w:sz w:val="20"/>
          <w:szCs w:val="20"/>
        </w:rPr>
        <w:t>.</w:t>
      </w:r>
      <w:r>
        <w:rPr>
          <w:rFonts w:ascii="Century Gothic" w:hAnsi="Century Gothic"/>
          <w:sz w:val="20"/>
          <w:szCs w:val="20"/>
        </w:rPr>
        <w:t xml:space="preserve"> </w:t>
      </w:r>
      <w:bookmarkStart w:id="4" w:name="_Hlk206404710"/>
      <w:r>
        <w:rPr>
          <w:rFonts w:ascii="Century Gothic" w:hAnsi="Century Gothic"/>
          <w:sz w:val="20"/>
          <w:szCs w:val="20"/>
        </w:rPr>
        <w:t>Działka, na której realizowane będzie przedmiotowe przedsięwzięcie ma powierzchnię 0,7001 ha. Nowopowstałe budynki będą budynkami mieszkalnymi z dopuszczalnym garażem, z dwoma kondygnacjami nadziemnymi o powierzchni zabudowy ok. 100 m</w:t>
      </w:r>
      <w:r>
        <w:rPr>
          <w:rFonts w:ascii="Century Gothic" w:hAnsi="Century Gothic"/>
          <w:sz w:val="20"/>
          <w:szCs w:val="20"/>
          <w:vertAlign w:val="superscript"/>
        </w:rPr>
        <w:t xml:space="preserve">2 </w:t>
      </w:r>
      <w:r>
        <w:rPr>
          <w:rFonts w:ascii="Century Gothic" w:hAnsi="Century Gothic"/>
          <w:sz w:val="20"/>
          <w:szCs w:val="20"/>
        </w:rPr>
        <w:t xml:space="preserve">każdy. </w:t>
      </w:r>
    </w:p>
    <w:p w14:paraId="5394AD0A" w14:textId="77777777" w:rsidR="00BE40B3" w:rsidRDefault="00BE40B3" w:rsidP="00BE40B3">
      <w:pPr>
        <w:spacing w:after="0" w:line="276" w:lineRule="auto"/>
        <w:jc w:val="both"/>
        <w:rPr>
          <w:rFonts w:ascii="Century Gothic" w:hAnsi="Century Gothic"/>
          <w:bCs/>
          <w:iCs/>
          <w:sz w:val="20"/>
          <w:szCs w:val="20"/>
        </w:rPr>
      </w:pPr>
      <w:r>
        <w:rPr>
          <w:rFonts w:ascii="Century Gothic" w:eastAsia="Times New Roman" w:hAnsi="Century Gothic" w:cs="Calibri"/>
          <w:bCs/>
          <w:iCs/>
          <w:kern w:val="0"/>
          <w:sz w:val="20"/>
          <w:szCs w:val="20"/>
          <w:lang w:eastAsia="pl-PL"/>
          <w14:ligatures w14:val="none"/>
        </w:rPr>
        <w:t xml:space="preserve">Budynki mieszkalne jednorodzinne budowane będą metodą tradycyjną, murowaną </w:t>
      </w:r>
      <w:r>
        <w:rPr>
          <w:rFonts w:ascii="Century Gothic" w:hAnsi="Century Gothic"/>
          <w:bCs/>
          <w:iCs/>
          <w:sz w:val="20"/>
          <w:szCs w:val="20"/>
        </w:rPr>
        <w:t>z wykorzystaniem następujących technologii:</w:t>
      </w:r>
    </w:p>
    <w:p w14:paraId="09BF4D4D" w14:textId="77777777" w:rsidR="00BE40B3" w:rsidRDefault="00BE40B3" w:rsidP="00BE40B3">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fundamenty w postaci żelbetowych płyt fundamentowych posadowionych na głębokości od 1,0 do 1,5 m,</w:t>
      </w:r>
    </w:p>
    <w:p w14:paraId="0B052F55" w14:textId="77777777" w:rsidR="00BE40B3" w:rsidRDefault="00BE40B3" w:rsidP="00BE40B3">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ściany fundamentowe murowane z bloczków betonowych lub wylewane na mokro,</w:t>
      </w:r>
    </w:p>
    <w:p w14:paraId="60F597BC" w14:textId="77777777" w:rsidR="00BE40B3" w:rsidRDefault="00BE40B3" w:rsidP="00BE40B3">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 ściany </w:t>
      </w:r>
      <w:proofErr w:type="spellStart"/>
      <w:r>
        <w:rPr>
          <w:rFonts w:ascii="Century Gothic" w:eastAsia="Times New Roman" w:hAnsi="Century Gothic" w:cs="Calibri"/>
          <w:bCs/>
          <w:iCs/>
          <w:kern w:val="0"/>
          <w:sz w:val="20"/>
          <w:szCs w:val="20"/>
          <w:lang w:eastAsia="pl-PL"/>
          <w14:ligatures w14:val="none"/>
        </w:rPr>
        <w:t>nadziemia</w:t>
      </w:r>
      <w:proofErr w:type="spellEnd"/>
      <w:r>
        <w:rPr>
          <w:rFonts w:ascii="Century Gothic" w:eastAsia="Times New Roman" w:hAnsi="Century Gothic" w:cs="Calibri"/>
          <w:bCs/>
          <w:iCs/>
          <w:kern w:val="0"/>
          <w:sz w:val="20"/>
          <w:szCs w:val="20"/>
          <w:lang w:eastAsia="pl-PL"/>
          <w14:ligatures w14:val="none"/>
        </w:rPr>
        <w:t xml:space="preserve"> murowane z pustaków ceramicznych,</w:t>
      </w:r>
    </w:p>
    <w:p w14:paraId="48CAE88E" w14:textId="77777777" w:rsidR="00BE40B3" w:rsidRDefault="00BE40B3" w:rsidP="00BE40B3">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 stropy między kondygnacyjne oraz stropodachy jako prefabrykowane </w:t>
      </w:r>
      <w:proofErr w:type="spellStart"/>
      <w:r>
        <w:rPr>
          <w:rFonts w:ascii="Century Gothic" w:eastAsia="Times New Roman" w:hAnsi="Century Gothic" w:cs="Calibri"/>
          <w:bCs/>
          <w:iCs/>
          <w:kern w:val="0"/>
          <w:sz w:val="20"/>
          <w:szCs w:val="20"/>
          <w:lang w:eastAsia="pl-PL"/>
          <w14:ligatures w14:val="none"/>
        </w:rPr>
        <w:t>gęstożebrowe</w:t>
      </w:r>
      <w:proofErr w:type="spellEnd"/>
      <w:r>
        <w:rPr>
          <w:rFonts w:ascii="Century Gothic" w:eastAsia="Times New Roman" w:hAnsi="Century Gothic" w:cs="Calibri"/>
          <w:bCs/>
          <w:iCs/>
          <w:kern w:val="0"/>
          <w:sz w:val="20"/>
          <w:szCs w:val="20"/>
          <w:lang w:eastAsia="pl-PL"/>
          <w14:ligatures w14:val="none"/>
        </w:rPr>
        <w:t xml:space="preserve"> zalewane na budowie,</w:t>
      </w:r>
    </w:p>
    <w:p w14:paraId="2B486096" w14:textId="77777777" w:rsidR="00BE40B3" w:rsidRDefault="00BE40B3" w:rsidP="00BE40B3">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stropodachy wielospadowe strome bądź płaskie wykończone papą termozgrzewalną,</w:t>
      </w:r>
    </w:p>
    <w:p w14:paraId="12AE1B88" w14:textId="77777777" w:rsidR="00BE40B3" w:rsidRDefault="00BE40B3" w:rsidP="00BE40B3">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elewacje ocieplone styropianem i wykończone cienkowarstwowymi tynkami fakturowymi barwionymi w masie lub malowanymi,</w:t>
      </w:r>
    </w:p>
    <w:p w14:paraId="3C62FD5C" w14:textId="77777777" w:rsidR="00BE40B3" w:rsidRDefault="00BE40B3" w:rsidP="00BE40B3">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stolarka okienna i drzwiowa zewnętrzna drewniana lub PCV,</w:t>
      </w:r>
    </w:p>
    <w:p w14:paraId="3C9E7ACE" w14:textId="77777777" w:rsidR="00BE40B3" w:rsidRDefault="00BE40B3" w:rsidP="00BE40B3">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tereny utwardzone z betonowych kostek brukowych oraz płyt ażurowych.</w:t>
      </w:r>
      <w:bookmarkEnd w:id="3"/>
      <w:bookmarkEnd w:id="4"/>
    </w:p>
    <w:p w14:paraId="26D9F625" w14:textId="77777777" w:rsidR="00BE40B3" w:rsidRDefault="00BE40B3" w:rsidP="00BE40B3">
      <w:pPr>
        <w:spacing w:after="0" w:line="276" w:lineRule="auto"/>
        <w:ind w:firstLine="708"/>
        <w:jc w:val="both"/>
        <w:rPr>
          <w:rFonts w:ascii="Century Gothic" w:hAnsi="Century Gothic"/>
          <w:sz w:val="20"/>
          <w:szCs w:val="20"/>
        </w:rPr>
      </w:pPr>
      <w:r>
        <w:rPr>
          <w:rFonts w:ascii="Century Gothic" w:eastAsia="Times New Roman" w:hAnsi="Century Gothic" w:cs="Arial"/>
          <w:kern w:val="0"/>
          <w:sz w:val="20"/>
          <w:szCs w:val="20"/>
          <w14:ligatures w14:val="none"/>
        </w:rPr>
        <w:t>Na podstawie informacji zawartych w Karcie informacyjnej przedsięwzięcia oraz map ustalono, że najbliższy teren chroniony akustycznie</w:t>
      </w:r>
      <w:r>
        <w:rPr>
          <w:rFonts w:ascii="Century Gothic" w:hAnsi="Century Gothic"/>
          <w:sz w:val="20"/>
          <w:szCs w:val="20"/>
        </w:rPr>
        <w:t xml:space="preserve"> to zabudowa mieszkaniowa jednorodzinna, która znajduje się w odległości ok. 60 m od planowanego przedsięwzięcia, od strony zachodniej.   </w:t>
      </w:r>
    </w:p>
    <w:p w14:paraId="12C4C3F5" w14:textId="77777777" w:rsidR="00BE40B3" w:rsidRDefault="00BE40B3" w:rsidP="00BE40B3">
      <w:pPr>
        <w:spacing w:after="0" w:line="276" w:lineRule="auto"/>
        <w:jc w:val="both"/>
        <w:rPr>
          <w:rFonts w:ascii="Century Gothic" w:hAnsi="Century Gothic"/>
          <w:sz w:val="20"/>
          <w:szCs w:val="20"/>
        </w:rPr>
      </w:pPr>
      <w:r>
        <w:rPr>
          <w:rFonts w:ascii="Century Gothic" w:eastAsia="Times New Roman" w:hAnsi="Century Gothic" w:cs="Times New Roman"/>
          <w:kern w:val="0"/>
          <w:sz w:val="20"/>
          <w:szCs w:val="20"/>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w:t>
      </w:r>
      <w:r>
        <w:rPr>
          <w:rFonts w:ascii="Century Gothic" w:hAnsi="Century Gothic"/>
          <w:sz w:val="20"/>
          <w:szCs w:val="20"/>
        </w:rPr>
        <w:lastRenderedPageBreak/>
        <w:t xml:space="preserve">pompy ciepła w liczbie do 4 sztuk — po jednej dla każdego budynku — o poziomie mocy akustycznej do 55 </w:t>
      </w:r>
      <w:proofErr w:type="spellStart"/>
      <w:r>
        <w:rPr>
          <w:rFonts w:ascii="Century Gothic" w:hAnsi="Century Gothic"/>
          <w:sz w:val="20"/>
          <w:szCs w:val="20"/>
        </w:rPr>
        <w:t>dB</w:t>
      </w:r>
      <w:proofErr w:type="spellEnd"/>
      <w:r>
        <w:rPr>
          <w:rFonts w:ascii="Century Gothic" w:hAnsi="Century Gothic"/>
          <w:sz w:val="20"/>
          <w:szCs w:val="20"/>
        </w:rPr>
        <w:t xml:space="preserve"> każda. </w:t>
      </w:r>
    </w:p>
    <w:p w14:paraId="219E51AB" w14:textId="77777777" w:rsidR="00BE40B3" w:rsidRDefault="00BE40B3" w:rsidP="00BE40B3">
      <w:pPr>
        <w:spacing w:after="0" w:line="276" w:lineRule="auto"/>
        <w:jc w:val="both"/>
        <w:rPr>
          <w:rFonts w:ascii="Century Gothic" w:hAnsi="Century Gothic"/>
          <w:sz w:val="20"/>
          <w:szCs w:val="20"/>
        </w:rPr>
      </w:pPr>
      <w:r>
        <w:rPr>
          <w:rFonts w:ascii="Century Gothic" w:hAnsi="Century Gothic"/>
          <w:sz w:val="20"/>
          <w:szCs w:val="20"/>
        </w:rPr>
        <w:t xml:space="preserve">Przeprowadzona analiza akustycznego oddziaływania przedsięwzięcia na środowisko dla pory dnia i pory nocy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 </w:t>
      </w:r>
    </w:p>
    <w:p w14:paraId="51AFC16C"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 powstałe domy jednorodzinne ogrzewane będą w oparciu o pompy ciepła i instalacji fotowoltaicznej.  </w:t>
      </w:r>
    </w:p>
    <w:p w14:paraId="5E9C1DD4"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263146CD"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4B75F8D2"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Inwestor nie brał pod uwagę możliwości odprowadzania ścieków bytowych do przydomowych oczyszczalni ścieków i nie dokonał w związku z tym oceny ich wpływu na środowisko.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07D75BAC" w14:textId="77777777" w:rsidR="00BE40B3" w:rsidRDefault="00BE40B3" w:rsidP="00BE40B3">
      <w:pPr>
        <w:spacing w:after="0" w:line="276" w:lineRule="auto"/>
        <w:ind w:firstLine="708"/>
        <w:jc w:val="both"/>
        <w:rPr>
          <w:rFonts w:ascii="Century Gothic" w:eastAsia="Calibri" w:hAnsi="Century Gothic" w:cs="Arial"/>
          <w:spacing w:val="-1"/>
          <w:sz w:val="20"/>
          <w:szCs w:val="20"/>
          <w:lang w:eastAsia="ar-SA"/>
        </w:rPr>
      </w:pPr>
      <w:r>
        <w:rPr>
          <w:rFonts w:ascii="Century Gothic" w:eastAsia="Calibri" w:hAnsi="Century Gothic" w:cs="Arial"/>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6BE47E9E" w14:textId="77777777" w:rsidR="00BE40B3" w:rsidRDefault="00BE40B3" w:rsidP="00BE40B3">
      <w:pPr>
        <w:spacing w:after="0" w:line="276" w:lineRule="auto"/>
        <w:ind w:firstLine="708"/>
        <w:jc w:val="both"/>
        <w:rPr>
          <w:rFonts w:ascii="Century Gothic" w:hAnsi="Century Gothic" w:cs="Calibri"/>
          <w:sz w:val="20"/>
          <w:szCs w:val="20"/>
        </w:rPr>
      </w:pPr>
      <w:r>
        <w:rPr>
          <w:rFonts w:ascii="Century Gothic" w:hAnsi="Century Gothic" w:cs="Calibri"/>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w:t>
      </w:r>
      <w:r>
        <w:rPr>
          <w:rFonts w:ascii="Century Gothic" w:hAnsi="Century Gothic" w:cs="Calibri"/>
          <w:sz w:val="20"/>
          <w:szCs w:val="20"/>
        </w:rPr>
        <w:lastRenderedPageBreak/>
        <w:t xml:space="preserve">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37DA68E3" w14:textId="77777777" w:rsidR="00BE40B3" w:rsidRDefault="00BE40B3" w:rsidP="00BE40B3">
      <w:pPr>
        <w:spacing w:after="0" w:line="276" w:lineRule="auto"/>
        <w:ind w:firstLine="360"/>
        <w:jc w:val="both"/>
        <w:rPr>
          <w:rFonts w:ascii="Century Gothic" w:hAnsi="Century Gothic"/>
          <w:sz w:val="20"/>
          <w:szCs w:val="20"/>
        </w:rPr>
      </w:pPr>
      <w:r>
        <w:rPr>
          <w:rFonts w:ascii="Century Gothic" w:hAnsi="Century Gothic"/>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50F69F1C" w14:textId="77777777" w:rsidR="00BE40B3" w:rsidRDefault="00BE40B3" w:rsidP="00BE40B3">
      <w:pPr>
        <w:numPr>
          <w:ilvl w:val="0"/>
          <w:numId w:val="4"/>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b/>
          <w:i/>
          <w:kern w:val="0"/>
          <w:sz w:val="20"/>
          <w:szCs w:val="20"/>
          <w:lang w:eastAsia="pl-PL"/>
          <w14:ligatures w14:val="none"/>
        </w:rPr>
        <w:t>usytuowanie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2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planowane przedsięwzięcie usytuowane będzie na działce nr 78/2 położonej w miejscowości Kalina, Gmina Gniezno, na gruntach rolnych oznaczonych w informacji z rejestru gruntów jako grunty orne i łąki trwałe. Planowana zabudowa będzie realizowana w sąsiedztwie gruntów rolnych i zabudowy mieszkaniowej.  </w:t>
      </w:r>
    </w:p>
    <w:p w14:paraId="2042DC6D" w14:textId="77777777" w:rsidR="00BE40B3" w:rsidRDefault="00BE40B3" w:rsidP="00BE40B3">
      <w:pPr>
        <w:spacing w:after="0" w:line="276" w:lineRule="auto"/>
        <w:jc w:val="both"/>
        <w:rPr>
          <w:rFonts w:ascii="Century Gothic" w:hAnsi="Century Gothic"/>
          <w:sz w:val="20"/>
          <w:szCs w:val="20"/>
        </w:rPr>
      </w:pPr>
      <w:r>
        <w:rPr>
          <w:rFonts w:ascii="Century Gothic" w:eastAsia="Times New Roman" w:hAnsi="Century Gothic" w:cs="Arial"/>
          <w:bCs/>
          <w:kern w:val="0"/>
          <w:sz w:val="20"/>
          <w:szCs w:val="20"/>
          <w14:ligatures w14:val="none"/>
        </w:rPr>
        <w:t xml:space="preserve">Planowane przedsięwzięcie </w:t>
      </w:r>
      <w:r>
        <w:rPr>
          <w:rFonts w:ascii="Century Gothic" w:hAnsi="Century Gothic"/>
          <w:sz w:val="20"/>
          <w:szCs w:val="20"/>
        </w:rPr>
        <w:t>nie będzie zlokalizowane na obszarach ochronnych zbiorników wód śródlądowych i w strefach ochronnych ujęć wód podziemnych, na obszarach wybrzeży i środowiska morskiego oraz na obszarach górskich. W pobliżu miejsca realizacji przedsięwzięcia występują tereny leśne. W odległości ok. 220 m od miejsca realizacji przedsięwzięcia znajduje się Jezioro Wierzbiańskie.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400F009D" w14:textId="77777777" w:rsidR="00BE40B3" w:rsidRDefault="00BE40B3" w:rsidP="00BE40B3">
      <w:pPr>
        <w:spacing w:after="0" w:line="276" w:lineRule="auto"/>
        <w:jc w:val="both"/>
        <w:rPr>
          <w:rFonts w:ascii="Century Gothic" w:eastAsia="Times New Roman" w:hAnsi="Century Gothic" w:cs="Arial"/>
          <w:kern w:val="0"/>
          <w:sz w:val="20"/>
          <w:szCs w:val="20"/>
          <w14:ligatures w14:val="none"/>
        </w:rPr>
      </w:pPr>
      <w:r>
        <w:rPr>
          <w:rFonts w:ascii="Century Gothic" w:eastAsia="Times New Roman" w:hAnsi="Century Gothic" w:cs="Arial"/>
          <w:kern w:val="0"/>
          <w:sz w:val="20"/>
          <w:szCs w:val="20"/>
          <w14:ligatures w14:val="none"/>
        </w:rPr>
        <w:t xml:space="preserve">Teren przeznaczony pod przedsięwzięcie zlokalizowany jest na </w:t>
      </w:r>
      <w:r>
        <w:rPr>
          <w:rFonts w:ascii="Century Gothic" w:hAnsi="Century Gothic"/>
          <w:sz w:val="20"/>
          <w:szCs w:val="20"/>
        </w:rPr>
        <w:t xml:space="preserve">obszarze Natura 2000 - specjalnym obszarze ochrony siedlisk Pojezierze Gnieźnieńskie PLH300026. Ponadto przedsięwzięcie znajduje się w ponadregionalnym korytarzu ekologicznym KPnC-15C Pojezierze Żnińskie  i na obszarze ważnym dla ptaków „Jezioro </w:t>
      </w:r>
      <w:proofErr w:type="spellStart"/>
      <w:r>
        <w:rPr>
          <w:rFonts w:ascii="Century Gothic" w:hAnsi="Century Gothic"/>
          <w:sz w:val="20"/>
          <w:szCs w:val="20"/>
        </w:rPr>
        <w:t>Wierzbiczańskie</w:t>
      </w:r>
      <w:proofErr w:type="spellEnd"/>
      <w:r>
        <w:rPr>
          <w:rFonts w:ascii="Century Gothic" w:hAnsi="Century Gothic"/>
          <w:sz w:val="20"/>
          <w:szCs w:val="20"/>
        </w:rPr>
        <w:t xml:space="preserve">" wyznaczonym na podstawie opracowania przygotowanego przez Przemysława </w:t>
      </w:r>
      <w:proofErr w:type="spellStart"/>
      <w:r>
        <w:rPr>
          <w:rFonts w:ascii="Century Gothic" w:hAnsi="Century Gothic"/>
          <w:sz w:val="20"/>
          <w:szCs w:val="20"/>
        </w:rPr>
        <w:t>Wylegałę</w:t>
      </w:r>
      <w:proofErr w:type="spellEnd"/>
      <w:r>
        <w:rPr>
          <w:rFonts w:ascii="Century Gothic" w:hAnsi="Century Gothic"/>
          <w:sz w:val="20"/>
          <w:szCs w:val="20"/>
        </w:rPr>
        <w:t>, Stanisława Kuźniaka oraz Pawła T. Dolatę „Obszary ważne dla ptaków w okresie gniazdowania oraz migracji na terenie województwa wielkopolskiego” zleconego przez Wielkopolskie Biuro Planowania Przestrzennego (Poznań 2008). Z danych będących w posiadaniu Regionalnego Dyrektora Ochrony Środowiska wynika, że w odległości ok. 50 m na zachód znajduje się zbiornik wodny, który jest siedliskiem kumaka nizinnego, gatunku będącego przedmiotem ochrony obszaru Natura 2000. Biorąc pod uwagę rodzaj i zakres przedsięwzięcia oraz uwzględniając, iż prawdopodobieństwo migracji kumaka pomiędzy terenem przedsięwzięcia a zbiornikiem jest skrajnie małe, z uwagi na duże wyniesienie terenu inwestycji względem zbiornika oraz istnienie bariery w postaci istniejącej drogi, stwierdzono, że realizacja ustaleń projektu decyzji nie spowoduje wystąpienia znacząco negatywnego oddziaływania na cele i przedmioty ochrony specjalnego obszaru ochrony siedlisk Pojezierze Gnieźnieńskie PLH300026. Przedsięwzięcie nie jest sprzeczne z zapisami planu zadań ochronnych obszaru Natura 2000.</w:t>
      </w:r>
    </w:p>
    <w:p w14:paraId="1A9757A9" w14:textId="77777777" w:rsidR="00BE40B3" w:rsidRDefault="00BE40B3" w:rsidP="00BE40B3">
      <w:pPr>
        <w:spacing w:after="0" w:line="276" w:lineRule="auto"/>
        <w:jc w:val="both"/>
        <w:rPr>
          <w:rFonts w:ascii="Century Gothic" w:eastAsia="Times New Roman" w:hAnsi="Century Gothic" w:cs="Arial"/>
          <w:bCs/>
          <w:kern w:val="0"/>
          <w:sz w:val="20"/>
          <w:szCs w:val="20"/>
          <w14:ligatures w14:val="none"/>
        </w:rPr>
      </w:pPr>
      <w:r>
        <w:rPr>
          <w:rFonts w:ascii="Century Gothic" w:eastAsia="Times New Roman" w:hAnsi="Century Gothic" w:cs="Arial"/>
          <w:kern w:val="0"/>
          <w:sz w:val="20"/>
          <w:szCs w:val="20"/>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3B0AB2F4" w14:textId="77777777" w:rsidR="00BE40B3" w:rsidRDefault="00BE40B3" w:rsidP="00BE40B3">
      <w:pPr>
        <w:spacing w:after="0" w:line="276" w:lineRule="auto"/>
        <w:ind w:firstLine="708"/>
        <w:jc w:val="both"/>
        <w:rPr>
          <w:rFonts w:ascii="Century Gothic" w:eastAsia="Times New Roman" w:hAnsi="Century Gothic" w:cs="Times New Roman"/>
          <w:kern w:val="0"/>
          <w:sz w:val="20"/>
          <w:szCs w:val="20"/>
          <w14:ligatures w14:val="none"/>
        </w:rPr>
      </w:pPr>
      <w:r>
        <w:rPr>
          <w:rFonts w:ascii="Century Gothic" w:eastAsia="Times New Roman" w:hAnsi="Century Gothic" w:cs="Calibri"/>
          <w:kern w:val="0"/>
          <w:sz w:val="20"/>
          <w:szCs w:val="20"/>
          <w:lang w:eastAsia="pl-PL"/>
          <w14:ligatures w14:val="none"/>
        </w:rPr>
        <w:lastRenderedPageBreak/>
        <w:t>Planowane przedsięwzięcie zlokalizowane jest w granicach jednolitej części wód podziemnych (</w:t>
      </w:r>
      <w:proofErr w:type="spellStart"/>
      <w:r>
        <w:rPr>
          <w:rFonts w:ascii="Century Gothic" w:eastAsia="Times New Roman" w:hAnsi="Century Gothic" w:cs="Calibri"/>
          <w:kern w:val="0"/>
          <w:sz w:val="20"/>
          <w:szCs w:val="20"/>
          <w:lang w:eastAsia="pl-PL"/>
          <w14:ligatures w14:val="none"/>
        </w:rPr>
        <w:t>JCWPd</w:t>
      </w:r>
      <w:proofErr w:type="spellEnd"/>
      <w:r>
        <w:rPr>
          <w:rFonts w:ascii="Century Gothic" w:eastAsia="Times New Roman" w:hAnsi="Century Gothic" w:cs="Calibri"/>
          <w:kern w:val="0"/>
          <w:sz w:val="20"/>
          <w:szCs w:val="20"/>
          <w:lang w:eastAsia="pl-PL"/>
          <w14:ligatures w14:val="none"/>
        </w:rPr>
        <w:t xml:space="preserve">) o kodzie GW600042. Zgodnie z obowiązującym „Planem gospodarowania wodami na obszarze dorzecza Odry” /Dz. U Z 2023 r. poz. 335/ </w:t>
      </w:r>
      <w:proofErr w:type="spellStart"/>
      <w:r>
        <w:rPr>
          <w:rFonts w:ascii="Century Gothic" w:eastAsia="Times New Roman" w:hAnsi="Century Gothic" w:cs="Times New Roman"/>
          <w:kern w:val="0"/>
          <w:sz w:val="20"/>
          <w:szCs w:val="20"/>
          <w14:ligatures w14:val="none"/>
        </w:rPr>
        <w:t>JCWPd</w:t>
      </w:r>
      <w:proofErr w:type="spellEnd"/>
      <w:r>
        <w:rPr>
          <w:rFonts w:ascii="Century Gothic" w:eastAsia="Times New Roman" w:hAnsi="Century Gothic" w:cs="Times New Roman"/>
          <w:kern w:val="0"/>
          <w:sz w:val="20"/>
          <w:szCs w:val="20"/>
          <w14:ligatures w14:val="none"/>
        </w:rPr>
        <w:t xml:space="preserve"> o kodzie GW600042 charakteryzuje się dobrym stanem ilościowym oraz chemicznym. Przeznaczona jest do poboru wody na potrzeby zaopatrzenia ludności w wodę przeznaczoną do spożycia.</w:t>
      </w:r>
      <w:r>
        <w:rPr>
          <w:rFonts w:ascii="Century Gothic" w:eastAsia="Times New Roman" w:hAnsi="Century Gothic" w:cs="Arial"/>
          <w:bCs/>
          <w:kern w:val="0"/>
          <w:sz w:val="20"/>
          <w:szCs w:val="20"/>
          <w14:ligatures w14:val="none"/>
        </w:rPr>
        <w:t xml:space="preserve"> </w:t>
      </w:r>
      <w:r>
        <w:rPr>
          <w:rFonts w:ascii="Century Gothic" w:eastAsia="Times New Roman" w:hAnsi="Century Gothic" w:cs="Times New Roman"/>
          <w:kern w:val="0"/>
          <w:sz w:val="20"/>
          <w:szCs w:val="20"/>
          <w14:ligatures w14:val="none"/>
        </w:rPr>
        <w:t>Jest ona monitorowana, a w odniesieniu do ryzyka nieosiągnięcia celów środowiskowych została uznana za niezagrożoną. Celem środowiskowym dla tej części wód jest dobry stan ilościowy i chemiczny.</w:t>
      </w:r>
    </w:p>
    <w:p w14:paraId="24801C33" w14:textId="77777777" w:rsidR="00BE40B3" w:rsidRDefault="00BE40B3" w:rsidP="00BE40B3">
      <w:pPr>
        <w:spacing w:after="0" w:line="276" w:lineRule="auto"/>
        <w:ind w:firstLine="708"/>
        <w:jc w:val="both"/>
        <w:rPr>
          <w:rFonts w:ascii="Century Gothic" w:eastAsia="Times New Roman" w:hAnsi="Century Gothic" w:cs="Times New Roman"/>
          <w:kern w:val="0"/>
          <w:sz w:val="20"/>
          <w:szCs w:val="20"/>
          <w14:ligatures w14:val="none"/>
        </w:rPr>
      </w:pPr>
      <w:r>
        <w:rPr>
          <w:rFonts w:ascii="Century Gothic" w:eastAsia="Times New Roman" w:hAnsi="Century Gothic" w:cs="Times New Roman"/>
          <w:kern w:val="0"/>
          <w:sz w:val="20"/>
          <w:szCs w:val="20"/>
          <w14:ligatures w14:val="none"/>
        </w:rPr>
        <w:t xml:space="preserve">Planowane przedsięwzięcie zlokalizowane jest w zlewni jednolitej części wód powierzchniowych rzecznych JCWP o kodzie RW600018186339 — Wełna do </w:t>
      </w:r>
      <w:proofErr w:type="spellStart"/>
      <w:r>
        <w:rPr>
          <w:rFonts w:ascii="Century Gothic" w:eastAsia="Times New Roman" w:hAnsi="Century Gothic" w:cs="Times New Roman"/>
          <w:kern w:val="0"/>
          <w:sz w:val="20"/>
          <w:szCs w:val="20"/>
          <w14:ligatures w14:val="none"/>
        </w:rPr>
        <w:t>Lutomni</w:t>
      </w:r>
      <w:proofErr w:type="spellEnd"/>
      <w:r>
        <w:rPr>
          <w:rFonts w:ascii="Century Gothic" w:eastAsia="Times New Roman" w:hAnsi="Century Gothic" w:cs="Times New Roman"/>
          <w:kern w:val="0"/>
          <w:sz w:val="20"/>
          <w:szCs w:val="20"/>
          <w14:ligatures w14:val="none"/>
        </w:rPr>
        <w:t>, która jest naturalną częścią wód. Jest ona monitorowana, o aktualnie umiarkowanym stanie ekologicznym.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61C69708" w14:textId="77777777" w:rsidR="00BE40B3" w:rsidRDefault="00BE40B3" w:rsidP="00BE40B3">
      <w:pPr>
        <w:spacing w:after="0" w:line="276" w:lineRule="auto"/>
        <w:jc w:val="both"/>
        <w:rPr>
          <w:rFonts w:ascii="Century Gothic" w:eastAsia="Times New Roman" w:hAnsi="Century Gothic" w:cs="Arial"/>
          <w:bCs/>
          <w:kern w:val="0"/>
          <w:sz w:val="20"/>
          <w:szCs w:val="20"/>
          <w14:ligatures w14:val="none"/>
        </w:rPr>
      </w:pPr>
      <w:r>
        <w:rPr>
          <w:rFonts w:ascii="Century Gothic" w:eastAsia="Times New Roman" w:hAnsi="Century Gothic" w:cs="Times New Roman"/>
          <w:kern w:val="0"/>
          <w:sz w:val="20"/>
          <w:szCs w:val="20"/>
          <w14:ligatures w14:val="none"/>
        </w:rPr>
        <w:t xml:space="preserve">Uwzględniając charakter i skalę oddziaływania, zastosowane rozwiązania </w:t>
      </w:r>
      <w:r>
        <w:rPr>
          <w:rFonts w:ascii="Century Gothic" w:eastAsia="Times New Roman" w:hAnsi="Century Gothic" w:cs="Times New Roman"/>
          <w:kern w:val="0"/>
          <w:sz w:val="20"/>
          <w:szCs w:val="20"/>
          <w14:ligatures w14:val="none"/>
        </w:rPr>
        <w:br/>
        <w:t>i technologie stwierdzono, że planowane p</w:t>
      </w:r>
      <w:r>
        <w:rPr>
          <w:rFonts w:ascii="Century Gothic" w:eastAsia="Times New Roman" w:hAnsi="Century Gothic" w:cs="Calibri"/>
          <w:kern w:val="0"/>
          <w:sz w:val="20"/>
          <w:szCs w:val="20"/>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1A9D0B30" w14:textId="77777777" w:rsidR="00BE40B3" w:rsidRDefault="00BE40B3" w:rsidP="00BE40B3">
      <w:pPr>
        <w:numPr>
          <w:ilvl w:val="0"/>
          <w:numId w:val="4"/>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b/>
          <w:i/>
          <w:kern w:val="0"/>
          <w:sz w:val="20"/>
          <w:szCs w:val="20"/>
          <w:lang w:eastAsia="pl-PL"/>
          <w14:ligatures w14:val="none"/>
        </w:rPr>
        <w:t>rodzaj i skala możliwego oddziaływania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3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które z racji swojego charakteru nie pociąga za sobą zagrożeń, a tym bardziej znaczących oddziaływań, ze względu na:</w:t>
      </w:r>
    </w:p>
    <w:p w14:paraId="15C2FEE4" w14:textId="77777777" w:rsidR="00BE40B3" w:rsidRDefault="00BE40B3" w:rsidP="00BE40B3">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zasięg, wielkość i złożoność oddziaływania,  jego  prawdopodobieństwo,  czas  trwania, częstotliwość i odwracalność, możliwości ograniczenia oddziaływania,</w:t>
      </w:r>
    </w:p>
    <w:p w14:paraId="74B92B1F" w14:textId="77777777" w:rsidR="00BE40B3" w:rsidRDefault="00BE40B3" w:rsidP="00BE40B3">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brak transgranicznego oddziaływania, </w:t>
      </w:r>
    </w:p>
    <w:p w14:paraId="7EB82A3C" w14:textId="77777777" w:rsidR="00BE40B3" w:rsidRDefault="00BE40B3" w:rsidP="00BE40B3">
      <w:pPr>
        <w:shd w:val="clear" w:color="auto" w:fill="FFFFFF"/>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7A39483D" w14:textId="77777777" w:rsidR="00BE40B3" w:rsidRDefault="00BE40B3" w:rsidP="00BE40B3">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8. Dla terenu (działka nr 78/2 położona w miejscowości Kalina), na którym ma być zlokalizowane przedsięwzięcie nie istnieje uchwalony miejscowy plan zagospodarowania przestrzennego.</w:t>
      </w:r>
    </w:p>
    <w:p w14:paraId="02954386" w14:textId="77777777" w:rsidR="00BE40B3" w:rsidRDefault="00BE40B3" w:rsidP="00BE40B3">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9.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334C2CCB" w14:textId="77777777" w:rsidR="00BE40B3" w:rsidRDefault="00BE40B3" w:rsidP="00BE40B3">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10.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kern w:val="0"/>
          <w:sz w:val="20"/>
          <w:szCs w:val="20"/>
          <w:lang w:eastAsia="pl-PL"/>
          <w14:ligatures w14:val="none"/>
        </w:rPr>
        <w:br/>
        <w:t>o środowiskowych uwarunkowaniach i skierowane do organu właściwego do ich rozpatrzenia.</w:t>
      </w:r>
    </w:p>
    <w:p w14:paraId="0C5F3BAC" w14:textId="77777777" w:rsidR="00BE40B3" w:rsidRDefault="00BE40B3" w:rsidP="00BE40B3">
      <w:pPr>
        <w:spacing w:after="120" w:line="240" w:lineRule="auto"/>
        <w:jc w:val="center"/>
        <w:rPr>
          <w:rFonts w:ascii="Century Gothic" w:eastAsia="Times New Roman" w:hAnsi="Century Gothic" w:cs="Times New Roman"/>
          <w:b/>
          <w:bCs/>
          <w:kern w:val="0"/>
          <w:sz w:val="20"/>
          <w:szCs w:val="21"/>
          <w:lang w:eastAsia="pl-PL"/>
          <w14:ligatures w14:val="none"/>
        </w:rPr>
      </w:pPr>
    </w:p>
    <w:p w14:paraId="3C80EA62" w14:textId="77777777" w:rsidR="00BE40B3" w:rsidRDefault="00BE40B3" w:rsidP="00BE40B3">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38AC9495" w14:textId="77777777" w:rsidR="00BE40B3" w:rsidRDefault="00BE40B3" w:rsidP="00BE40B3">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lastRenderedPageBreak/>
        <w:t>Od niniejszej decyzji przysługuje stronom odwołanie do Samorządowego Kolegium Odwoławczego w Poznaniu za pośrednictwem Wójta Gminy Gniezno w terminie 14 dni od dnia doręczenia niniejszej decyzji.</w:t>
      </w:r>
    </w:p>
    <w:p w14:paraId="4FCCEFF2" w14:textId="77777777" w:rsidR="00BE40B3" w:rsidRDefault="00BE40B3" w:rsidP="00BE40B3">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kern w:val="0"/>
          <w:sz w:val="18"/>
          <w:szCs w:val="18"/>
          <w14:ligatures w14:val="none"/>
        </w:rPr>
        <w:t xml:space="preserve">wobec organu administracji publicznej, który wydał decyzję </w:t>
      </w:r>
      <w:r>
        <w:rPr>
          <w:rFonts w:ascii="Century Gothic" w:eastAsia="Times New Roman" w:hAnsi="Century Gothic" w:cs="Times New Roman"/>
          <w:kern w:val="0"/>
          <w:sz w:val="18"/>
          <w:szCs w:val="18"/>
          <w:lang w:eastAsia="ar-SA"/>
          <w14:ligatures w14:val="none"/>
        </w:rPr>
        <w:t xml:space="preserve">- art. 127 a </w:t>
      </w:r>
      <w:r>
        <w:rPr>
          <w:rFonts w:ascii="Century Gothic" w:eastAsia="Times New Roman" w:hAnsi="Century Gothic" w:cs="Times New Roman"/>
          <w:kern w:val="0"/>
          <w:sz w:val="18"/>
          <w:szCs w:val="18"/>
          <w14:ligatures w14:val="none"/>
        </w:rPr>
        <w:t>§ 1 k.p.a.</w:t>
      </w:r>
    </w:p>
    <w:p w14:paraId="041DEC43" w14:textId="77777777" w:rsidR="00BE40B3" w:rsidRDefault="00BE40B3" w:rsidP="00BE40B3">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Z dniem doręczenia organowi administracji publicznej oświadczenia o zrzeczeniu się prawa do wniesienia odwołania przez ostatnią ze stron postępowania, decyzja staje się ostateczna i prawomocna.</w:t>
      </w:r>
    </w:p>
    <w:p w14:paraId="0AFD758C" w14:textId="77777777" w:rsidR="00BE40B3" w:rsidRDefault="00BE40B3" w:rsidP="00BE40B3">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18"/>
          <w:szCs w:val="18"/>
          <w:lang w:eastAsia="ar-SA"/>
          <w14:ligatures w14:val="none"/>
        </w:rPr>
        <w:t xml:space="preserve">art. 107 </w:t>
      </w:r>
      <w:r>
        <w:rPr>
          <w:rFonts w:ascii="Century Gothic" w:eastAsia="Times New Roman" w:hAnsi="Century Gothic" w:cs="Times New Roman"/>
          <w:kern w:val="0"/>
          <w:sz w:val="18"/>
          <w:szCs w:val="18"/>
          <w14:ligatures w14:val="none"/>
        </w:rPr>
        <w:t>§ 1 pkt. 7 k.p.a.</w:t>
      </w:r>
    </w:p>
    <w:p w14:paraId="38933FF8" w14:textId="77777777" w:rsidR="00BE40B3" w:rsidRDefault="00BE40B3" w:rsidP="00BE40B3">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18"/>
          <w:szCs w:val="18"/>
          <w:lang w:eastAsia="ar-SA"/>
          <w14:ligatures w14:val="none"/>
        </w:rPr>
        <w:t xml:space="preserve">art. 130 </w:t>
      </w:r>
      <w:r>
        <w:rPr>
          <w:rFonts w:ascii="Century Gothic" w:eastAsia="Times New Roman" w:hAnsi="Century Gothic" w:cs="Times New Roman"/>
          <w:kern w:val="0"/>
          <w:sz w:val="18"/>
          <w:szCs w:val="18"/>
          <w14:ligatures w14:val="none"/>
        </w:rPr>
        <w:t>§ 4 k.p.a.</w:t>
      </w:r>
    </w:p>
    <w:p w14:paraId="0409EB35" w14:textId="77777777" w:rsidR="00BE40B3" w:rsidRDefault="00BE40B3" w:rsidP="00BE40B3">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18"/>
          <w:szCs w:val="18"/>
          <w:lang w:eastAsia="pl-PL"/>
          <w14:ligatures w14:val="none"/>
        </w:rPr>
        <w:t>, o którym mowa w ust. 1a</w:t>
      </w:r>
      <w:r>
        <w:rPr>
          <w:rFonts w:ascii="Century Gothic" w:eastAsia="Times New Roman" w:hAnsi="Century Gothic" w:cs="Times New Roman"/>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0B910921" w14:textId="77777777" w:rsidR="00BE40B3" w:rsidRDefault="00BE40B3" w:rsidP="00BE40B3">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18"/>
          <w:szCs w:val="18"/>
        </w:rPr>
        <w:t>/Dz. U. z 2025 r. poz. 1154/.</w:t>
      </w:r>
    </w:p>
    <w:p w14:paraId="5617E54B"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6DC451D3"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1F83F4DB"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245529EF"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72368E63"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320160A1"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79E4D348"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5A8A6658"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0A851B1C"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2F6DAC2F"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1D734498"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6A1B3390"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30960BEE"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07548387"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50469241"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3E65BB01"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5FC3E4B6"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792A01AA"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5B8ED802"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1201AB4E"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65159C5C"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091C6B23"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2246DEE8" w14:textId="77777777" w:rsidR="00BE40B3" w:rsidRDefault="00BE40B3" w:rsidP="00BE40B3">
      <w:pPr>
        <w:spacing w:after="0" w:line="276" w:lineRule="auto"/>
        <w:rPr>
          <w:rFonts w:ascii="Century Gothic" w:eastAsia="Times New Roman" w:hAnsi="Century Gothic" w:cs="Times New Roman"/>
          <w:b/>
          <w:bCs/>
          <w:kern w:val="0"/>
          <w:sz w:val="16"/>
          <w:szCs w:val="16"/>
          <w:u w:val="single"/>
          <w14:ligatures w14:val="none"/>
        </w:rPr>
      </w:pPr>
    </w:p>
    <w:p w14:paraId="13E21ECF" w14:textId="77777777" w:rsidR="00BE40B3" w:rsidRDefault="00BE40B3" w:rsidP="00BE40B3">
      <w:pPr>
        <w:spacing w:after="0" w:line="276" w:lineRule="auto"/>
        <w:rPr>
          <w:rFonts w:ascii="Century Gothic" w:eastAsia="Times New Roman" w:hAnsi="Century Gothic" w:cs="Times New Roman"/>
          <w:b/>
          <w:bCs/>
          <w:kern w:val="0"/>
          <w:sz w:val="18"/>
          <w:szCs w:val="18"/>
          <w:u w:val="single"/>
          <w14:ligatures w14:val="none"/>
        </w:rPr>
      </w:pPr>
      <w:r>
        <w:rPr>
          <w:rFonts w:ascii="Century Gothic" w:eastAsia="Times New Roman" w:hAnsi="Century Gothic" w:cs="Times New Roman"/>
          <w:b/>
          <w:bCs/>
          <w:kern w:val="0"/>
          <w:sz w:val="18"/>
          <w:szCs w:val="18"/>
          <w:u w:val="single"/>
          <w14:ligatures w14:val="none"/>
        </w:rPr>
        <w:t>Otrzymują:</w:t>
      </w:r>
    </w:p>
    <w:p w14:paraId="64C4AB56" w14:textId="77777777" w:rsidR="00BE40B3" w:rsidRDefault="00BE40B3" w:rsidP="00BE40B3">
      <w:pPr>
        <w:numPr>
          <w:ilvl w:val="0"/>
          <w:numId w:val="7"/>
        </w:numPr>
        <w:shd w:val="clear" w:color="auto" w:fill="FFFFFF"/>
        <w:spacing w:after="0" w:line="276"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Strony postępowania administracyjnego wg rozdzielnika </w:t>
      </w:r>
    </w:p>
    <w:p w14:paraId="67EDEEA9" w14:textId="77777777" w:rsidR="00BE40B3" w:rsidRDefault="00BE40B3" w:rsidP="00BE40B3">
      <w:pPr>
        <w:numPr>
          <w:ilvl w:val="0"/>
          <w:numId w:val="7"/>
        </w:numPr>
        <w:shd w:val="clear" w:color="auto" w:fill="FFFFFF"/>
        <w:spacing w:after="0" w:line="276"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a/a (sprawę prowadzi Rafał Skweres – tel. 61 424 57 66)</w:t>
      </w:r>
    </w:p>
    <w:p w14:paraId="2DE9C33B" w14:textId="77777777" w:rsidR="00BE40B3" w:rsidRDefault="00BE40B3" w:rsidP="00BE40B3">
      <w:pPr>
        <w:spacing w:after="0" w:line="276" w:lineRule="auto"/>
        <w:rPr>
          <w:rFonts w:ascii="Century Gothic" w:eastAsia="Times New Roman" w:hAnsi="Century Gothic" w:cs="Times New Roman"/>
          <w:b/>
          <w:bCs/>
          <w:kern w:val="0"/>
          <w:sz w:val="18"/>
          <w:szCs w:val="18"/>
          <w:u w:val="single"/>
          <w14:ligatures w14:val="none"/>
        </w:rPr>
      </w:pPr>
      <w:r>
        <w:rPr>
          <w:rFonts w:ascii="Century Gothic" w:eastAsia="Times New Roman" w:hAnsi="Century Gothic" w:cs="Times New Roman"/>
          <w:b/>
          <w:bCs/>
          <w:kern w:val="0"/>
          <w:sz w:val="18"/>
          <w:szCs w:val="18"/>
          <w:u w:val="single"/>
          <w14:ligatures w14:val="none"/>
        </w:rPr>
        <w:t>Do wiadomości:</w:t>
      </w:r>
    </w:p>
    <w:p w14:paraId="7BF36F3E" w14:textId="77777777" w:rsidR="00BE40B3" w:rsidRDefault="00BE40B3" w:rsidP="00BE40B3">
      <w:pPr>
        <w:numPr>
          <w:ilvl w:val="0"/>
          <w:numId w:val="8"/>
        </w:numPr>
        <w:spacing w:after="0" w:line="276" w:lineRule="auto"/>
        <w:jc w:val="both"/>
        <w:rPr>
          <w:rFonts w:ascii="Century Gothic" w:eastAsia="Times New Roman" w:hAnsi="Century Gothic" w:cs="Times New Roman"/>
          <w:kern w:val="0"/>
          <w:sz w:val="18"/>
          <w:szCs w:val="18"/>
          <w:lang w:eastAsia="pl-PL"/>
          <w14:ligatures w14:val="none"/>
        </w:rPr>
      </w:pPr>
      <w:r>
        <w:rPr>
          <w:rFonts w:ascii="Century Gothic" w:eastAsia="Times New Roman" w:hAnsi="Century Gothic" w:cs="Times New Roman"/>
          <w:kern w:val="0"/>
          <w:sz w:val="18"/>
          <w:szCs w:val="18"/>
          <w:lang w:eastAsia="pl-PL"/>
          <w14:ligatures w14:val="none"/>
        </w:rPr>
        <w:t>Regionalny Dyrektor Ochrony Środowiska w Poznaniu, ul. Kościuszki 57, 61-891 Poznań</w:t>
      </w:r>
    </w:p>
    <w:p w14:paraId="44FFA24C" w14:textId="77777777" w:rsidR="00BE40B3" w:rsidRDefault="00BE40B3" w:rsidP="00BE40B3">
      <w:pPr>
        <w:numPr>
          <w:ilvl w:val="0"/>
          <w:numId w:val="8"/>
        </w:numPr>
        <w:spacing w:after="0" w:line="276" w:lineRule="auto"/>
        <w:jc w:val="both"/>
        <w:rPr>
          <w:rFonts w:ascii="Century Gothic" w:eastAsia="Times New Roman" w:hAnsi="Century Gothic" w:cs="Times New Roman"/>
          <w:kern w:val="0"/>
          <w:sz w:val="18"/>
          <w:szCs w:val="18"/>
          <w:lang w:eastAsia="pl-PL"/>
          <w14:ligatures w14:val="none"/>
        </w:rPr>
      </w:pPr>
      <w:r>
        <w:rPr>
          <w:rFonts w:ascii="Century Gothic" w:eastAsia="Times New Roman" w:hAnsi="Century Gothic" w:cs="Times New Roman"/>
          <w:kern w:val="0"/>
          <w:sz w:val="18"/>
          <w:szCs w:val="18"/>
          <w:lang w:eastAsia="pl-PL"/>
          <w14:ligatures w14:val="none"/>
        </w:rPr>
        <w:t>Państwowy Powiatowy Inspektor Sanitarny w Gnieźnie, ul. Św. Wawrzyńca 18, 62-200 Gniezno</w:t>
      </w:r>
    </w:p>
    <w:p w14:paraId="1E02125B" w14:textId="77777777" w:rsidR="00BE40B3" w:rsidRDefault="00BE40B3" w:rsidP="00BE40B3">
      <w:pPr>
        <w:numPr>
          <w:ilvl w:val="0"/>
          <w:numId w:val="8"/>
        </w:numPr>
        <w:spacing w:after="0" w:line="276"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Dyrektor Zarządu Zlewni Wód Polskich w Poznaniu, ul. Szewska 1, 61-760 Poznań</w:t>
      </w:r>
    </w:p>
    <w:p w14:paraId="5086F13E"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63E1BC9A"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660D3B0E"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249F837F"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168458D6"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6E50B7F8"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29AEA812"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2C72817F"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3FDEBF80"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5F656D96"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5129F666"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51DE77E7"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p>
    <w:p w14:paraId="5EAAB261" w14:textId="77777777" w:rsidR="00BE40B3" w:rsidRDefault="00BE40B3" w:rsidP="00BE40B3">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OŚR.6220.3.2026 z dnia 4 maja 2026 roku</w:t>
      </w:r>
    </w:p>
    <w:p w14:paraId="558A2ECB" w14:textId="77777777" w:rsidR="00BE40B3" w:rsidRDefault="00BE40B3" w:rsidP="00BE40B3">
      <w:pPr>
        <w:spacing w:after="0" w:line="276" w:lineRule="auto"/>
        <w:rPr>
          <w:rFonts w:ascii="Century Gothic" w:eastAsia="Times New Roman" w:hAnsi="Century Gothic" w:cs="Times New Roman"/>
          <w:bCs/>
          <w:kern w:val="0"/>
          <w:sz w:val="21"/>
          <w:szCs w:val="21"/>
          <w:lang w:eastAsia="pl-PL"/>
          <w14:ligatures w14:val="none"/>
        </w:rPr>
      </w:pPr>
    </w:p>
    <w:p w14:paraId="31320FBE" w14:textId="77777777" w:rsidR="00BE40B3" w:rsidRDefault="00BE40B3" w:rsidP="00BE40B3">
      <w:pPr>
        <w:keepNext/>
        <w:spacing w:after="0" w:line="276" w:lineRule="auto"/>
        <w:jc w:val="center"/>
        <w:outlineLvl w:val="0"/>
        <w:rPr>
          <w:rFonts w:ascii="Century Gothic" w:eastAsia="Times New Roman" w:hAnsi="Century Gothic" w:cs="Times New Roman"/>
          <w:bCs/>
          <w:kern w:val="0"/>
          <w:szCs w:val="21"/>
          <w:lang w:eastAsia="pl-PL"/>
          <w14:ligatures w14:val="none"/>
        </w:rPr>
      </w:pPr>
      <w:r>
        <w:rPr>
          <w:rFonts w:ascii="Century Gothic" w:eastAsia="Times New Roman" w:hAnsi="Century Gothic" w:cs="Times New Roman"/>
          <w:bCs/>
          <w:kern w:val="0"/>
          <w:szCs w:val="21"/>
          <w:lang w:eastAsia="pl-PL"/>
          <w14:ligatures w14:val="none"/>
        </w:rPr>
        <w:t>Charakterystyka przedsięwzięcia</w:t>
      </w:r>
    </w:p>
    <w:p w14:paraId="6892B860" w14:textId="77777777" w:rsidR="00BE40B3" w:rsidRDefault="00BE40B3" w:rsidP="00BE40B3">
      <w:pPr>
        <w:keepNext/>
        <w:spacing w:after="0" w:line="276" w:lineRule="auto"/>
        <w:jc w:val="center"/>
        <w:outlineLvl w:val="0"/>
        <w:rPr>
          <w:rFonts w:ascii="Century Gothic" w:eastAsia="Times New Roman" w:hAnsi="Century Gothic" w:cs="Times New Roman"/>
          <w:bCs/>
          <w:kern w:val="0"/>
          <w:sz w:val="20"/>
          <w:szCs w:val="20"/>
          <w:lang w:eastAsia="pl-PL"/>
          <w14:ligatures w14:val="none"/>
        </w:rPr>
      </w:pPr>
    </w:p>
    <w:p w14:paraId="5FB8183C" w14:textId="77777777" w:rsidR="00BE40B3" w:rsidRDefault="00BE40B3" w:rsidP="00BE40B3">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lang w:eastAsia="pl-PL"/>
          <w14:ligatures w14:val="none"/>
        </w:rPr>
        <w:t>Planowane</w:t>
      </w:r>
      <w:r>
        <w:rPr>
          <w:rFonts w:ascii="Century Gothic" w:eastAsia="Times New Roman" w:hAnsi="Century Gothic" w:cs="Calibri"/>
          <w:kern w:val="0"/>
          <w:sz w:val="20"/>
          <w:szCs w:val="20"/>
          <w:lang w:eastAsia="pl-PL"/>
          <w14:ligatures w14:val="none"/>
        </w:rPr>
        <w:t xml:space="preserve"> przedsięwzięcie polegać będzie</w:t>
      </w:r>
      <w:r>
        <w:rPr>
          <w:rFonts w:ascii="Century Gothic" w:hAnsi="Century Gothic"/>
          <w:sz w:val="20"/>
          <w:szCs w:val="20"/>
        </w:rPr>
        <w:t xml:space="preserve"> na </w:t>
      </w:r>
      <w:r>
        <w:rPr>
          <w:rFonts w:ascii="Century Gothic" w:eastAsia="Calibri" w:hAnsi="Century Gothic" w:cs="Cambria"/>
          <w:sz w:val="20"/>
          <w:szCs w:val="20"/>
        </w:rPr>
        <w:t>budowie</w:t>
      </w:r>
      <w:r>
        <w:rPr>
          <w:rFonts w:ascii="Century Gothic" w:hAnsi="Century Gothic"/>
          <w:sz w:val="20"/>
          <w:szCs w:val="20"/>
        </w:rPr>
        <w:t xml:space="preserve"> 4 budynków mieszkalnych jednorodzinnych w zabudowie wolnostojącej wraz z drogami wewnętrznymi i niezbędną infrastrukturą techniczną w miejscowości Kalina, Gmina Gniezno, działka nr 78/2</w:t>
      </w:r>
      <w:r>
        <w:rPr>
          <w:rFonts w:ascii="Century Gothic" w:hAnsi="Century Gothic"/>
          <w:b/>
          <w:sz w:val="20"/>
          <w:szCs w:val="20"/>
        </w:rPr>
        <w:t>.</w:t>
      </w:r>
      <w:r>
        <w:rPr>
          <w:rFonts w:ascii="Century Gothic" w:hAnsi="Century Gothic"/>
          <w:sz w:val="20"/>
          <w:szCs w:val="20"/>
        </w:rPr>
        <w:t xml:space="preserve"> </w:t>
      </w:r>
    </w:p>
    <w:p w14:paraId="34869C13"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Działka, na której realizowane będzie przedmiotowe przedsięwzięcie ma powierzchnię 0,7001 ha. Nowopowstałe budynki będą budynkami mieszkalnymi z dopuszczalnym garażem, z dwoma kondygnacjami nadziemnymi o powierzchni zabudowy ok. 100 m</w:t>
      </w:r>
      <w:r>
        <w:rPr>
          <w:rFonts w:ascii="Century Gothic" w:hAnsi="Century Gothic"/>
          <w:sz w:val="20"/>
          <w:szCs w:val="20"/>
          <w:vertAlign w:val="superscript"/>
        </w:rPr>
        <w:t>2</w:t>
      </w:r>
      <w:r>
        <w:rPr>
          <w:rFonts w:ascii="Century Gothic" w:hAnsi="Century Gothic"/>
          <w:sz w:val="20"/>
          <w:szCs w:val="20"/>
        </w:rPr>
        <w:t xml:space="preserve"> każdy. </w:t>
      </w:r>
    </w:p>
    <w:p w14:paraId="2B1E5C6C"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Budynki mieszkalne jednorodzinne budowane będą metodą tradycyjną, murowaną z wykorzystaniem następujących technologii:</w:t>
      </w:r>
    </w:p>
    <w:p w14:paraId="46CC54B4"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 fundamenty w postaci żelbetowych płyt fundamentowych posadowionych na głębokości od 1,0 do 1,5 m,</w:t>
      </w:r>
    </w:p>
    <w:p w14:paraId="27DA6372"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 ściany fundamentowe murowane z bloczków betonowych lub wylewane na mokro,</w:t>
      </w:r>
    </w:p>
    <w:p w14:paraId="0025CF08"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 xml:space="preserve">• ściany </w:t>
      </w:r>
      <w:proofErr w:type="spellStart"/>
      <w:r>
        <w:rPr>
          <w:rFonts w:ascii="Century Gothic" w:hAnsi="Century Gothic"/>
          <w:sz w:val="20"/>
          <w:szCs w:val="20"/>
        </w:rPr>
        <w:t>nadziemia</w:t>
      </w:r>
      <w:proofErr w:type="spellEnd"/>
      <w:r>
        <w:rPr>
          <w:rFonts w:ascii="Century Gothic" w:hAnsi="Century Gothic"/>
          <w:sz w:val="20"/>
          <w:szCs w:val="20"/>
        </w:rPr>
        <w:t xml:space="preserve"> murowane z pustaków ceramicznych,</w:t>
      </w:r>
    </w:p>
    <w:p w14:paraId="45840560"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 xml:space="preserve">• stropy między kondygnacyjne oraz stropodachy jako prefabrykowane </w:t>
      </w:r>
      <w:proofErr w:type="spellStart"/>
      <w:r>
        <w:rPr>
          <w:rFonts w:ascii="Century Gothic" w:hAnsi="Century Gothic"/>
          <w:sz w:val="20"/>
          <w:szCs w:val="20"/>
        </w:rPr>
        <w:t>gęstożebrowe</w:t>
      </w:r>
      <w:proofErr w:type="spellEnd"/>
      <w:r>
        <w:rPr>
          <w:rFonts w:ascii="Century Gothic" w:hAnsi="Century Gothic"/>
          <w:sz w:val="20"/>
          <w:szCs w:val="20"/>
        </w:rPr>
        <w:t xml:space="preserve"> zalewane na budowie,</w:t>
      </w:r>
    </w:p>
    <w:p w14:paraId="74CF18CD"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 stropodachy wielospadowe strome bądź płaskie wykończone papą termozgrzewalną,</w:t>
      </w:r>
    </w:p>
    <w:p w14:paraId="47F77266"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 elewacje ocieplone styropianem i wykończone cienkowarstwowymi tynkami fakturowymi barwionymi w masie lub malowanymi,</w:t>
      </w:r>
    </w:p>
    <w:p w14:paraId="7AEC8BB1"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 stolarka okienna i drzwiowa zewnętrzna drewniana lub PCV,</w:t>
      </w:r>
    </w:p>
    <w:p w14:paraId="5FB800EE" w14:textId="77777777" w:rsidR="00BE40B3" w:rsidRDefault="00BE40B3" w:rsidP="00BE40B3">
      <w:pPr>
        <w:spacing w:after="0" w:line="276" w:lineRule="auto"/>
        <w:ind w:firstLine="708"/>
        <w:jc w:val="both"/>
        <w:rPr>
          <w:rFonts w:ascii="Century Gothic" w:hAnsi="Century Gothic"/>
          <w:sz w:val="20"/>
          <w:szCs w:val="20"/>
        </w:rPr>
      </w:pPr>
      <w:r>
        <w:rPr>
          <w:rFonts w:ascii="Century Gothic" w:hAnsi="Century Gothic"/>
          <w:sz w:val="20"/>
          <w:szCs w:val="20"/>
        </w:rPr>
        <w:t>• tereny utwardzone z betonowych kostek brukowych oraz płyt ażurowych.</w:t>
      </w:r>
    </w:p>
    <w:p w14:paraId="31089F93" w14:textId="77777777" w:rsidR="00BE40B3" w:rsidRDefault="00BE40B3" w:rsidP="00BE40B3">
      <w:pPr>
        <w:autoSpaceDE w:val="0"/>
        <w:autoSpaceDN w:val="0"/>
        <w:adjustRightInd w:val="0"/>
        <w:spacing w:after="0" w:line="276" w:lineRule="auto"/>
        <w:ind w:firstLine="709"/>
        <w:jc w:val="both"/>
        <w:rPr>
          <w:rFonts w:ascii="Century Gothic" w:eastAsia="Times New Roman" w:hAnsi="Century Gothic" w:cs="Arial"/>
          <w:sz w:val="20"/>
          <w:szCs w:val="20"/>
          <w14:ligatures w14:val="none"/>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sieci wodociągowej, a ścieki bytowe będą odprowadzane do szczelnych zbiorników bezodpływowych. Docelowo przewiduje się odprowadzenie ścieków do gminnej sieci kanalizacyjnej, po jej wybudowaniu. </w:t>
      </w:r>
    </w:p>
    <w:p w14:paraId="32DEA092" w14:textId="77777777" w:rsidR="00BE40B3" w:rsidRDefault="00BE40B3" w:rsidP="00BE40B3">
      <w:pPr>
        <w:autoSpaceDE w:val="0"/>
        <w:autoSpaceDN w:val="0"/>
        <w:adjustRightInd w:val="0"/>
        <w:spacing w:after="0" w:line="276" w:lineRule="auto"/>
        <w:ind w:firstLine="708"/>
        <w:jc w:val="both"/>
        <w:rPr>
          <w:rFonts w:ascii="Century Gothic" w:eastAsia="Times New Roman" w:hAnsi="Century Gothic" w:cs="Arial"/>
          <w:bCs/>
          <w:sz w:val="20"/>
          <w:szCs w:val="20"/>
          <w14:ligatures w14:val="none"/>
        </w:rPr>
      </w:pPr>
      <w:r>
        <w:rPr>
          <w:rFonts w:ascii="Century Gothic" w:hAnsi="Century Gothic" w:cs="Calibri"/>
          <w:sz w:val="20"/>
          <w:szCs w:val="20"/>
        </w:rPr>
        <w:t>Gospodarowanie odpadami na etapie realizacji i eksploatacji przedmiotowego przedsięwzięcia będzie odbywać się na zasadach określonych w aktualnie obowiązujących przepisach szczegółowych.</w:t>
      </w:r>
    </w:p>
    <w:p w14:paraId="21C2D689" w14:textId="77777777" w:rsidR="00BE40B3" w:rsidRDefault="00BE40B3" w:rsidP="00BE40B3">
      <w:pPr>
        <w:autoSpaceDE w:val="0"/>
        <w:autoSpaceDN w:val="0"/>
        <w:adjustRightInd w:val="0"/>
        <w:spacing w:after="0" w:line="276" w:lineRule="auto"/>
        <w:ind w:firstLine="708"/>
        <w:jc w:val="both"/>
        <w:rPr>
          <w:rFonts w:ascii="Century Gothic" w:hAnsi="Century Gothic" w:cs="Helvetica"/>
          <w:kern w:val="0"/>
          <w:sz w:val="20"/>
          <w:szCs w:val="20"/>
        </w:rPr>
      </w:pPr>
      <w:r>
        <w:rPr>
          <w:rFonts w:ascii="Century Gothic" w:hAnsi="Century Gothic"/>
          <w:sz w:val="20"/>
          <w:szCs w:val="20"/>
        </w:rPr>
        <w:t xml:space="preserve">Przedsięwzięcie zostanie zlokalizowane na obszarze Natura 2000 - specjalnym obszarze ochrony siedlisk Pojezierze Gnieźnieńskie PLH300026. Podczas realizacji przedsięwzięcia nie przewiduje się wycinki drzew i krzewów. </w:t>
      </w:r>
    </w:p>
    <w:p w14:paraId="688BD243"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89355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534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141646">
    <w:abstractNumId w:val="0"/>
    <w:lvlOverride w:ilvl="0"/>
    <w:lvlOverride w:ilvl="1"/>
    <w:lvlOverride w:ilvl="2"/>
    <w:lvlOverride w:ilvl="3"/>
    <w:lvlOverride w:ilvl="4"/>
    <w:lvlOverride w:ilvl="5"/>
    <w:lvlOverride w:ilvl="6"/>
    <w:lvlOverride w:ilvl="7"/>
    <w:lvlOverride w:ilvl="8"/>
  </w:num>
  <w:num w:numId="4" w16cid:durableId="1074010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152957">
    <w:abstractNumId w:val="2"/>
    <w:lvlOverride w:ilvl="0"/>
    <w:lvlOverride w:ilvl="1"/>
    <w:lvlOverride w:ilvl="2"/>
    <w:lvlOverride w:ilvl="3"/>
    <w:lvlOverride w:ilvl="4"/>
    <w:lvlOverride w:ilvl="5"/>
    <w:lvlOverride w:ilvl="6"/>
    <w:lvlOverride w:ilvl="7"/>
    <w:lvlOverride w:ilvl="8"/>
  </w:num>
  <w:num w:numId="6" w16cid:durableId="314066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700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0763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B3"/>
    <w:rsid w:val="00B32516"/>
    <w:rsid w:val="00BE40B3"/>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969D"/>
  <w15:chartTrackingRefBased/>
  <w15:docId w15:val="{DB9C1E6F-36D5-4918-BD24-155E4528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40B3"/>
    <w:pPr>
      <w:spacing w:line="252" w:lineRule="auto"/>
    </w:pPr>
  </w:style>
  <w:style w:type="paragraph" w:styleId="Nagwek1">
    <w:name w:val="heading 1"/>
    <w:basedOn w:val="Normalny"/>
    <w:next w:val="Normalny"/>
    <w:link w:val="Nagwek1Znak"/>
    <w:uiPriority w:val="9"/>
    <w:qFormat/>
    <w:rsid w:val="00BE40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E40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E40B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E40B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E40B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E40B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40B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40B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40B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40B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E40B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E40B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E40B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E40B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E40B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40B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40B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40B3"/>
    <w:rPr>
      <w:rFonts w:eastAsiaTheme="majorEastAsia" w:cstheme="majorBidi"/>
      <w:color w:val="272727" w:themeColor="text1" w:themeTint="D8"/>
    </w:rPr>
  </w:style>
  <w:style w:type="paragraph" w:styleId="Tytu">
    <w:name w:val="Title"/>
    <w:basedOn w:val="Normalny"/>
    <w:next w:val="Normalny"/>
    <w:link w:val="TytuZnak"/>
    <w:uiPriority w:val="10"/>
    <w:qFormat/>
    <w:rsid w:val="00BE4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40B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40B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40B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40B3"/>
    <w:pPr>
      <w:spacing w:before="160"/>
      <w:jc w:val="center"/>
    </w:pPr>
    <w:rPr>
      <w:i/>
      <w:iCs/>
      <w:color w:val="404040" w:themeColor="text1" w:themeTint="BF"/>
    </w:rPr>
  </w:style>
  <w:style w:type="character" w:customStyle="1" w:styleId="CytatZnak">
    <w:name w:val="Cytat Znak"/>
    <w:basedOn w:val="Domylnaczcionkaakapitu"/>
    <w:link w:val="Cytat"/>
    <w:uiPriority w:val="29"/>
    <w:rsid w:val="00BE40B3"/>
    <w:rPr>
      <w:i/>
      <w:iCs/>
      <w:color w:val="404040" w:themeColor="text1" w:themeTint="BF"/>
    </w:rPr>
  </w:style>
  <w:style w:type="paragraph" w:styleId="Akapitzlist">
    <w:name w:val="List Paragraph"/>
    <w:basedOn w:val="Normalny"/>
    <w:uiPriority w:val="34"/>
    <w:qFormat/>
    <w:rsid w:val="00BE40B3"/>
    <w:pPr>
      <w:ind w:left="720"/>
      <w:contextualSpacing/>
    </w:pPr>
  </w:style>
  <w:style w:type="character" w:styleId="Wyrnienieintensywne">
    <w:name w:val="Intense Emphasis"/>
    <w:basedOn w:val="Domylnaczcionkaakapitu"/>
    <w:uiPriority w:val="21"/>
    <w:qFormat/>
    <w:rsid w:val="00BE40B3"/>
    <w:rPr>
      <w:i/>
      <w:iCs/>
      <w:color w:val="2F5496" w:themeColor="accent1" w:themeShade="BF"/>
    </w:rPr>
  </w:style>
  <w:style w:type="paragraph" w:styleId="Cytatintensywny">
    <w:name w:val="Intense Quote"/>
    <w:basedOn w:val="Normalny"/>
    <w:next w:val="Normalny"/>
    <w:link w:val="CytatintensywnyZnak"/>
    <w:uiPriority w:val="30"/>
    <w:qFormat/>
    <w:rsid w:val="00BE4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E40B3"/>
    <w:rPr>
      <w:i/>
      <w:iCs/>
      <w:color w:val="2F5496" w:themeColor="accent1" w:themeShade="BF"/>
    </w:rPr>
  </w:style>
  <w:style w:type="character" w:styleId="Odwoanieintensywne">
    <w:name w:val="Intense Reference"/>
    <w:basedOn w:val="Domylnaczcionkaakapitu"/>
    <w:uiPriority w:val="32"/>
    <w:qFormat/>
    <w:rsid w:val="00BE4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4061</Words>
  <Characters>24372</Characters>
  <Application>Microsoft Office Word</Application>
  <DocSecurity>0</DocSecurity>
  <Lines>203</Lines>
  <Paragraphs>56</Paragraphs>
  <ScaleCrop>false</ScaleCrop>
  <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2026-04-30T06:46:00Z</dcterms:created>
  <dcterms:modified xsi:type="dcterms:W3CDTF">2026-04-30T06:48:00Z</dcterms:modified>
</cp:coreProperties>
</file>