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D040" w14:textId="7D1E6FCD" w:rsidR="008C1A13" w:rsidRPr="009A6088" w:rsidRDefault="008C1A13" w:rsidP="007525B9">
      <w:pPr>
        <w:pStyle w:val="Nagwek2"/>
        <w:spacing w:before="0"/>
        <w:jc w:val="center"/>
        <w:rPr>
          <w:rFonts w:ascii="Calibri" w:hAnsi="Calibri" w:cs="Calibri"/>
          <w:sz w:val="22"/>
          <w:szCs w:val="22"/>
        </w:rPr>
      </w:pPr>
      <w:r w:rsidRPr="009A6088">
        <w:rPr>
          <w:rFonts w:ascii="Calibri" w:hAnsi="Calibri" w:cs="Calibri"/>
          <w:sz w:val="22"/>
          <w:szCs w:val="22"/>
        </w:rPr>
        <w:t>Wójt Gminy Gniezno</w:t>
      </w:r>
      <w:r w:rsidR="007525B9" w:rsidRPr="009A6088">
        <w:rPr>
          <w:rFonts w:ascii="Calibri" w:hAnsi="Calibri" w:cs="Calibri"/>
          <w:sz w:val="22"/>
          <w:szCs w:val="22"/>
        </w:rPr>
        <w:t xml:space="preserve"> </w:t>
      </w:r>
      <w:r w:rsidRPr="009A6088">
        <w:rPr>
          <w:rFonts w:ascii="Calibri" w:hAnsi="Calibri" w:cs="Calibri"/>
          <w:sz w:val="22"/>
          <w:szCs w:val="22"/>
        </w:rPr>
        <w:t>ogłasza</w:t>
      </w:r>
    </w:p>
    <w:p w14:paraId="49AE5AFB" w14:textId="77777777" w:rsidR="00235D54" w:rsidRPr="00F962B2" w:rsidRDefault="00235D54" w:rsidP="00235D54">
      <w:pPr>
        <w:jc w:val="center"/>
        <w:rPr>
          <w:rFonts w:ascii="Calibri" w:hAnsi="Calibri" w:cs="Calibri"/>
          <w:b/>
          <w:i/>
          <w:sz w:val="14"/>
        </w:rPr>
      </w:pPr>
    </w:p>
    <w:p w14:paraId="40E52979" w14:textId="280A03FD" w:rsidR="00235D54" w:rsidRPr="007A07AF" w:rsidRDefault="00235D54" w:rsidP="00235D54">
      <w:pPr>
        <w:tabs>
          <w:tab w:val="left" w:pos="2520"/>
        </w:tabs>
        <w:ind w:left="360"/>
        <w:jc w:val="center"/>
        <w:rPr>
          <w:rFonts w:ascii="Calibri" w:hAnsi="Calibri" w:cs="Calibri"/>
          <w:b/>
          <w:i/>
          <w:sz w:val="20"/>
          <w:szCs w:val="20"/>
        </w:rPr>
      </w:pPr>
      <w:r>
        <w:rPr>
          <w:rFonts w:ascii="Calibri" w:hAnsi="Calibri" w:cs="Calibri"/>
          <w:b/>
          <w:i/>
          <w:sz w:val="20"/>
          <w:szCs w:val="20"/>
        </w:rPr>
        <w:t xml:space="preserve">I </w:t>
      </w:r>
      <w:r w:rsidRPr="007A07AF">
        <w:rPr>
          <w:rFonts w:ascii="Calibri" w:hAnsi="Calibri" w:cs="Calibri"/>
          <w:b/>
          <w:i/>
          <w:sz w:val="20"/>
          <w:szCs w:val="20"/>
        </w:rPr>
        <w:t xml:space="preserve">przetarg ustny nieograniczony  na  sprzedaż  nieruchomości  gruntowych  położonych </w:t>
      </w:r>
      <w:r w:rsidRPr="007A07AF">
        <w:rPr>
          <w:rFonts w:ascii="Calibri" w:hAnsi="Calibri" w:cs="Calibri"/>
          <w:b/>
          <w:i/>
          <w:sz w:val="20"/>
          <w:szCs w:val="20"/>
        </w:rPr>
        <w:br/>
        <w:t xml:space="preserve">w  miejscowości  </w:t>
      </w:r>
      <w:r>
        <w:rPr>
          <w:rFonts w:ascii="Calibri" w:hAnsi="Calibri" w:cs="Calibri"/>
          <w:b/>
          <w:i/>
          <w:sz w:val="20"/>
          <w:szCs w:val="20"/>
        </w:rPr>
        <w:t>Lulkowo</w:t>
      </w:r>
      <w:r w:rsidRPr="007A07AF">
        <w:rPr>
          <w:rFonts w:ascii="Calibri" w:hAnsi="Calibri" w:cs="Calibri"/>
          <w:b/>
          <w:i/>
          <w:sz w:val="20"/>
          <w:szCs w:val="20"/>
        </w:rPr>
        <w:t>:</w:t>
      </w:r>
    </w:p>
    <w:tbl>
      <w:tblPr>
        <w:tblStyle w:val="Tabela-Siatka"/>
        <w:tblW w:w="0" w:type="auto"/>
        <w:tblLook w:val="04A0" w:firstRow="1" w:lastRow="0" w:firstColumn="1" w:lastColumn="0" w:noHBand="0" w:noVBand="1"/>
      </w:tblPr>
      <w:tblGrid>
        <w:gridCol w:w="515"/>
        <w:gridCol w:w="959"/>
        <w:gridCol w:w="1414"/>
        <w:gridCol w:w="1660"/>
        <w:gridCol w:w="1355"/>
        <w:gridCol w:w="1744"/>
        <w:gridCol w:w="1415"/>
      </w:tblGrid>
      <w:tr w:rsidR="007E6115" w:rsidRPr="00235D54" w14:paraId="749EB9CD" w14:textId="78AE219F" w:rsidTr="008D54C4">
        <w:tc>
          <w:tcPr>
            <w:tcW w:w="528" w:type="dxa"/>
            <w:shd w:val="clear" w:color="auto" w:fill="D9D9D9" w:themeFill="background1" w:themeFillShade="D9"/>
            <w:vAlign w:val="center"/>
          </w:tcPr>
          <w:p w14:paraId="756863E4" w14:textId="15048188" w:rsidR="008D54C4" w:rsidRPr="00235D54" w:rsidRDefault="008D54C4" w:rsidP="00235D54">
            <w:pPr>
              <w:jc w:val="center"/>
              <w:rPr>
                <w:rFonts w:eastAsia="Times New Roman" w:cstheme="minorHAnsi"/>
                <w:b/>
                <w:i/>
                <w:sz w:val="20"/>
                <w:szCs w:val="20"/>
                <w:lang w:eastAsia="pl-PL"/>
              </w:rPr>
            </w:pPr>
            <w:r w:rsidRPr="007E6115">
              <w:rPr>
                <w:rFonts w:eastAsia="Times New Roman" w:cstheme="minorHAnsi"/>
                <w:b/>
                <w:i/>
                <w:sz w:val="20"/>
                <w:szCs w:val="20"/>
                <w:lang w:eastAsia="pl-PL"/>
              </w:rPr>
              <w:t>Lp.</w:t>
            </w:r>
          </w:p>
        </w:tc>
        <w:tc>
          <w:tcPr>
            <w:tcW w:w="1003" w:type="dxa"/>
            <w:shd w:val="clear" w:color="auto" w:fill="D9D9D9" w:themeFill="background1" w:themeFillShade="D9"/>
            <w:vAlign w:val="center"/>
          </w:tcPr>
          <w:p w14:paraId="40CD0EC6" w14:textId="2DE92503" w:rsidR="008D54C4" w:rsidRPr="00235D54" w:rsidRDefault="008D54C4" w:rsidP="00235D54">
            <w:pPr>
              <w:jc w:val="center"/>
              <w:rPr>
                <w:rFonts w:eastAsia="Times New Roman" w:cstheme="minorHAnsi"/>
                <w:b/>
                <w:i/>
                <w:sz w:val="20"/>
                <w:szCs w:val="20"/>
                <w:lang w:eastAsia="pl-PL"/>
              </w:rPr>
            </w:pPr>
            <w:r w:rsidRPr="007E6115">
              <w:rPr>
                <w:rFonts w:eastAsia="Times New Roman" w:cstheme="minorHAnsi"/>
                <w:b/>
                <w:i/>
                <w:sz w:val="20"/>
                <w:szCs w:val="20"/>
                <w:lang w:eastAsia="pl-PL"/>
              </w:rPr>
              <w:t>Nr geod. działki</w:t>
            </w:r>
          </w:p>
        </w:tc>
        <w:tc>
          <w:tcPr>
            <w:tcW w:w="1433" w:type="dxa"/>
            <w:shd w:val="clear" w:color="auto" w:fill="D9D9D9" w:themeFill="background1" w:themeFillShade="D9"/>
            <w:vAlign w:val="center"/>
          </w:tcPr>
          <w:p w14:paraId="15BC9FF8" w14:textId="750C7CDC" w:rsidR="008D54C4" w:rsidRPr="00235D54" w:rsidRDefault="008D54C4" w:rsidP="00235D54">
            <w:pPr>
              <w:jc w:val="center"/>
              <w:rPr>
                <w:rFonts w:eastAsia="Times New Roman" w:cstheme="minorHAnsi"/>
                <w:b/>
                <w:i/>
                <w:sz w:val="20"/>
                <w:szCs w:val="20"/>
                <w:lang w:eastAsia="pl-PL"/>
              </w:rPr>
            </w:pPr>
            <w:r w:rsidRPr="007E6115">
              <w:rPr>
                <w:rFonts w:eastAsia="Times New Roman" w:cstheme="minorHAnsi"/>
                <w:b/>
                <w:i/>
                <w:sz w:val="20"/>
                <w:szCs w:val="20"/>
                <w:lang w:eastAsia="pl-PL"/>
              </w:rPr>
              <w:t>Powierzchnia w ha</w:t>
            </w:r>
          </w:p>
        </w:tc>
        <w:tc>
          <w:tcPr>
            <w:tcW w:w="1739" w:type="dxa"/>
            <w:shd w:val="clear" w:color="auto" w:fill="D9D9D9" w:themeFill="background1" w:themeFillShade="D9"/>
            <w:vAlign w:val="center"/>
          </w:tcPr>
          <w:p w14:paraId="00519F00" w14:textId="3126F1BE" w:rsidR="008D54C4" w:rsidRPr="00235D54" w:rsidRDefault="008D54C4" w:rsidP="00235D54">
            <w:pPr>
              <w:jc w:val="center"/>
              <w:rPr>
                <w:rFonts w:eastAsia="Times New Roman" w:cstheme="minorHAnsi"/>
                <w:b/>
                <w:i/>
                <w:sz w:val="20"/>
                <w:szCs w:val="20"/>
                <w:lang w:eastAsia="pl-PL"/>
              </w:rPr>
            </w:pPr>
            <w:r w:rsidRPr="007E6115">
              <w:rPr>
                <w:rFonts w:eastAsia="Times New Roman" w:cstheme="minorHAnsi"/>
                <w:b/>
                <w:i/>
                <w:sz w:val="20"/>
                <w:szCs w:val="20"/>
                <w:lang w:eastAsia="pl-PL"/>
              </w:rPr>
              <w:t>Cena wywoławcza netto</w:t>
            </w:r>
            <w:r w:rsidR="008212FA">
              <w:rPr>
                <w:rFonts w:eastAsia="Times New Roman" w:cstheme="minorHAnsi"/>
                <w:b/>
                <w:i/>
                <w:sz w:val="20"/>
                <w:szCs w:val="20"/>
                <w:lang w:eastAsia="pl-PL"/>
              </w:rPr>
              <w:t xml:space="preserve"> w PLN</w:t>
            </w:r>
          </w:p>
        </w:tc>
        <w:tc>
          <w:tcPr>
            <w:tcW w:w="1443" w:type="dxa"/>
            <w:shd w:val="clear" w:color="auto" w:fill="D9D9D9" w:themeFill="background1" w:themeFillShade="D9"/>
            <w:vAlign w:val="center"/>
          </w:tcPr>
          <w:p w14:paraId="564D756D" w14:textId="07EED139" w:rsidR="008D54C4" w:rsidRPr="00235D54" w:rsidRDefault="008D54C4" w:rsidP="00235D54">
            <w:pPr>
              <w:jc w:val="center"/>
              <w:rPr>
                <w:rFonts w:eastAsia="Times New Roman" w:cstheme="minorHAnsi"/>
                <w:b/>
                <w:i/>
                <w:sz w:val="20"/>
                <w:szCs w:val="20"/>
                <w:lang w:eastAsia="pl-PL"/>
              </w:rPr>
            </w:pPr>
            <w:r w:rsidRPr="007E6115">
              <w:rPr>
                <w:rFonts w:eastAsia="Times New Roman" w:cstheme="minorHAnsi"/>
                <w:b/>
                <w:i/>
                <w:sz w:val="20"/>
                <w:szCs w:val="20"/>
                <w:lang w:eastAsia="pl-PL"/>
              </w:rPr>
              <w:t>Wadium</w:t>
            </w:r>
          </w:p>
        </w:tc>
        <w:tc>
          <w:tcPr>
            <w:tcW w:w="1771" w:type="dxa"/>
            <w:shd w:val="clear" w:color="auto" w:fill="D9D9D9" w:themeFill="background1" w:themeFillShade="D9"/>
            <w:vAlign w:val="center"/>
          </w:tcPr>
          <w:p w14:paraId="7F3C7025" w14:textId="4790A499" w:rsidR="008D54C4" w:rsidRPr="007E6115" w:rsidRDefault="008D54C4" w:rsidP="008D54C4">
            <w:pPr>
              <w:jc w:val="center"/>
              <w:rPr>
                <w:rFonts w:eastAsia="Times New Roman" w:cstheme="minorHAnsi"/>
                <w:b/>
                <w:i/>
                <w:sz w:val="20"/>
                <w:szCs w:val="20"/>
                <w:lang w:eastAsia="pl-PL"/>
              </w:rPr>
            </w:pPr>
            <w:r w:rsidRPr="007E6115">
              <w:rPr>
                <w:rFonts w:eastAsia="Times New Roman" w:cstheme="minorHAnsi"/>
                <w:b/>
                <w:i/>
                <w:sz w:val="20"/>
                <w:szCs w:val="20"/>
                <w:lang w:eastAsia="pl-PL"/>
              </w:rPr>
              <w:t>KW</w:t>
            </w:r>
          </w:p>
        </w:tc>
        <w:tc>
          <w:tcPr>
            <w:tcW w:w="1145" w:type="dxa"/>
            <w:shd w:val="clear" w:color="auto" w:fill="D9D9D9" w:themeFill="background1" w:themeFillShade="D9"/>
            <w:vAlign w:val="center"/>
          </w:tcPr>
          <w:p w14:paraId="4B4CC5E0" w14:textId="59F7DA56" w:rsidR="008D54C4" w:rsidRPr="007E6115" w:rsidRDefault="008D54C4" w:rsidP="008D54C4">
            <w:pPr>
              <w:jc w:val="center"/>
              <w:rPr>
                <w:rFonts w:eastAsia="Times New Roman" w:cstheme="minorHAnsi"/>
                <w:b/>
                <w:i/>
                <w:sz w:val="20"/>
                <w:szCs w:val="20"/>
                <w:lang w:eastAsia="pl-PL"/>
              </w:rPr>
            </w:pPr>
            <w:r w:rsidRPr="007E6115">
              <w:rPr>
                <w:rFonts w:eastAsia="Times New Roman" w:cstheme="minorHAnsi"/>
                <w:b/>
                <w:i/>
                <w:sz w:val="20"/>
                <w:szCs w:val="20"/>
                <w:lang w:eastAsia="pl-PL"/>
              </w:rPr>
              <w:t>Obciążenie nieruchomości</w:t>
            </w:r>
          </w:p>
        </w:tc>
      </w:tr>
      <w:tr w:rsidR="008D54C4" w:rsidRPr="00235D54" w14:paraId="46FCAF9E" w14:textId="5B4FF89E" w:rsidTr="008D54C4">
        <w:trPr>
          <w:trHeight w:val="618"/>
        </w:trPr>
        <w:tc>
          <w:tcPr>
            <w:tcW w:w="528" w:type="dxa"/>
            <w:vAlign w:val="center"/>
          </w:tcPr>
          <w:p w14:paraId="4AA45F74" w14:textId="77777777" w:rsidR="008D54C4" w:rsidRPr="007E6115"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1.</w:t>
            </w:r>
          </w:p>
          <w:p w14:paraId="084AE895" w14:textId="464A0A11" w:rsidR="008D54C4" w:rsidRPr="00235D54"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2.</w:t>
            </w:r>
          </w:p>
        </w:tc>
        <w:tc>
          <w:tcPr>
            <w:tcW w:w="1003" w:type="dxa"/>
            <w:vAlign w:val="center"/>
          </w:tcPr>
          <w:p w14:paraId="0608AD41" w14:textId="77777777" w:rsidR="008D54C4" w:rsidRPr="007E6115"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283</w:t>
            </w:r>
          </w:p>
          <w:p w14:paraId="18EB2416" w14:textId="0F6B856E" w:rsidR="008D54C4" w:rsidRPr="00235D54"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282</w:t>
            </w:r>
          </w:p>
        </w:tc>
        <w:tc>
          <w:tcPr>
            <w:tcW w:w="1433" w:type="dxa"/>
            <w:vAlign w:val="center"/>
          </w:tcPr>
          <w:p w14:paraId="02175150" w14:textId="77777777" w:rsidR="008D54C4" w:rsidRPr="007E6115"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17,4713</w:t>
            </w:r>
          </w:p>
          <w:p w14:paraId="0FD40F0D" w14:textId="5F9CBD75" w:rsidR="008D54C4" w:rsidRPr="00235D54"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0,4225</w:t>
            </w:r>
          </w:p>
        </w:tc>
        <w:tc>
          <w:tcPr>
            <w:tcW w:w="1739" w:type="dxa"/>
            <w:vAlign w:val="center"/>
          </w:tcPr>
          <w:p w14:paraId="486DB0EB" w14:textId="64813437" w:rsidR="008D54C4" w:rsidRPr="007E6115" w:rsidRDefault="002464DC" w:rsidP="00235D54">
            <w:pPr>
              <w:jc w:val="center"/>
              <w:rPr>
                <w:rFonts w:eastAsia="Times New Roman" w:cstheme="minorHAnsi"/>
                <w:b/>
                <w:i/>
                <w:sz w:val="18"/>
                <w:szCs w:val="18"/>
                <w:lang w:eastAsia="pl-PL"/>
              </w:rPr>
            </w:pPr>
            <w:r>
              <w:rPr>
                <w:rFonts w:eastAsia="Times New Roman" w:cstheme="minorHAnsi"/>
                <w:b/>
                <w:i/>
                <w:sz w:val="18"/>
                <w:szCs w:val="18"/>
                <w:lang w:eastAsia="pl-PL"/>
              </w:rPr>
              <w:t>13 890</w:t>
            </w:r>
            <w:r w:rsidR="008D54C4" w:rsidRPr="007E6115">
              <w:rPr>
                <w:rFonts w:eastAsia="Times New Roman" w:cstheme="minorHAnsi"/>
                <w:b/>
                <w:i/>
                <w:sz w:val="18"/>
                <w:szCs w:val="18"/>
                <w:lang w:eastAsia="pl-PL"/>
              </w:rPr>
              <w:t> 000,00</w:t>
            </w:r>
          </w:p>
          <w:p w14:paraId="55521BE5" w14:textId="73255B2A" w:rsidR="008D54C4" w:rsidRPr="00235D54" w:rsidRDefault="002464DC" w:rsidP="00235D54">
            <w:pPr>
              <w:jc w:val="center"/>
              <w:rPr>
                <w:rFonts w:eastAsia="Times New Roman" w:cstheme="minorHAnsi"/>
                <w:b/>
                <w:i/>
                <w:sz w:val="18"/>
                <w:szCs w:val="18"/>
                <w:lang w:eastAsia="pl-PL"/>
              </w:rPr>
            </w:pPr>
            <w:r>
              <w:rPr>
                <w:rFonts w:eastAsia="Times New Roman" w:cstheme="minorHAnsi"/>
                <w:b/>
                <w:i/>
                <w:sz w:val="18"/>
                <w:szCs w:val="18"/>
                <w:lang w:eastAsia="pl-PL"/>
              </w:rPr>
              <w:t>392</w:t>
            </w:r>
            <w:r w:rsidR="008D54C4" w:rsidRPr="007E6115">
              <w:rPr>
                <w:rFonts w:eastAsia="Times New Roman" w:cstheme="minorHAnsi"/>
                <w:b/>
                <w:i/>
                <w:sz w:val="18"/>
                <w:szCs w:val="18"/>
                <w:lang w:eastAsia="pl-PL"/>
              </w:rPr>
              <w:t> 000,00</w:t>
            </w:r>
          </w:p>
        </w:tc>
        <w:tc>
          <w:tcPr>
            <w:tcW w:w="1443" w:type="dxa"/>
            <w:vAlign w:val="center"/>
          </w:tcPr>
          <w:p w14:paraId="3D6BC7E7" w14:textId="52B75E93" w:rsidR="008D54C4" w:rsidRPr="007E6115" w:rsidRDefault="002464DC" w:rsidP="00235D54">
            <w:pPr>
              <w:jc w:val="center"/>
              <w:rPr>
                <w:rFonts w:eastAsia="Times New Roman" w:cstheme="minorHAnsi"/>
                <w:b/>
                <w:i/>
                <w:sz w:val="18"/>
                <w:szCs w:val="18"/>
                <w:lang w:eastAsia="pl-PL"/>
              </w:rPr>
            </w:pPr>
            <w:r>
              <w:rPr>
                <w:rFonts w:eastAsia="Times New Roman" w:cstheme="minorHAnsi"/>
                <w:b/>
                <w:i/>
                <w:sz w:val="18"/>
                <w:szCs w:val="18"/>
                <w:lang w:eastAsia="pl-PL"/>
              </w:rPr>
              <w:t>1 389</w:t>
            </w:r>
            <w:r w:rsidR="00481465">
              <w:rPr>
                <w:rFonts w:eastAsia="Times New Roman" w:cstheme="minorHAnsi"/>
                <w:b/>
                <w:i/>
                <w:sz w:val="18"/>
                <w:szCs w:val="18"/>
                <w:lang w:eastAsia="pl-PL"/>
              </w:rPr>
              <w:t xml:space="preserve"> 000</w:t>
            </w:r>
            <w:r w:rsidR="008D54C4" w:rsidRPr="007E6115">
              <w:rPr>
                <w:rFonts w:eastAsia="Times New Roman" w:cstheme="minorHAnsi"/>
                <w:b/>
                <w:i/>
                <w:sz w:val="18"/>
                <w:szCs w:val="18"/>
                <w:lang w:eastAsia="pl-PL"/>
              </w:rPr>
              <w:t>,00</w:t>
            </w:r>
          </w:p>
          <w:p w14:paraId="443BD8E5" w14:textId="50D2A130" w:rsidR="008D54C4" w:rsidRPr="00235D54" w:rsidRDefault="002464DC" w:rsidP="00235D54">
            <w:pPr>
              <w:jc w:val="center"/>
              <w:rPr>
                <w:rFonts w:eastAsia="Times New Roman" w:cstheme="minorHAnsi"/>
                <w:b/>
                <w:i/>
                <w:sz w:val="18"/>
                <w:szCs w:val="18"/>
                <w:lang w:eastAsia="pl-PL"/>
              </w:rPr>
            </w:pPr>
            <w:r>
              <w:rPr>
                <w:rFonts w:eastAsia="Times New Roman" w:cstheme="minorHAnsi"/>
                <w:b/>
                <w:i/>
                <w:sz w:val="18"/>
                <w:szCs w:val="18"/>
                <w:lang w:eastAsia="pl-PL"/>
              </w:rPr>
              <w:t>39</w:t>
            </w:r>
            <w:r w:rsidR="00481465">
              <w:rPr>
                <w:rFonts w:eastAsia="Times New Roman" w:cstheme="minorHAnsi"/>
                <w:b/>
                <w:i/>
                <w:sz w:val="18"/>
                <w:szCs w:val="18"/>
                <w:lang w:eastAsia="pl-PL"/>
              </w:rPr>
              <w:t> </w:t>
            </w:r>
            <w:r>
              <w:rPr>
                <w:rFonts w:eastAsia="Times New Roman" w:cstheme="minorHAnsi"/>
                <w:b/>
                <w:i/>
                <w:sz w:val="18"/>
                <w:szCs w:val="18"/>
                <w:lang w:eastAsia="pl-PL"/>
              </w:rPr>
              <w:t>2</w:t>
            </w:r>
            <w:r w:rsidR="00481465">
              <w:rPr>
                <w:rFonts w:eastAsia="Times New Roman" w:cstheme="minorHAnsi"/>
                <w:b/>
                <w:i/>
                <w:sz w:val="18"/>
                <w:szCs w:val="18"/>
                <w:lang w:eastAsia="pl-PL"/>
              </w:rPr>
              <w:t>00,00</w:t>
            </w:r>
          </w:p>
        </w:tc>
        <w:tc>
          <w:tcPr>
            <w:tcW w:w="1771" w:type="dxa"/>
            <w:vAlign w:val="center"/>
          </w:tcPr>
          <w:p w14:paraId="1F41A602" w14:textId="77777777" w:rsidR="008D54C4" w:rsidRPr="007E6115"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PO1G/00028857/9</w:t>
            </w:r>
          </w:p>
          <w:p w14:paraId="48CA221E" w14:textId="603BEE0F" w:rsidR="008D54C4" w:rsidRPr="007E6115"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PO1G/0002</w:t>
            </w:r>
            <w:r w:rsidR="0000250A">
              <w:rPr>
                <w:rFonts w:eastAsia="Times New Roman" w:cstheme="minorHAnsi"/>
                <w:b/>
                <w:i/>
                <w:sz w:val="18"/>
                <w:szCs w:val="18"/>
                <w:lang w:eastAsia="pl-PL"/>
              </w:rPr>
              <w:t>8</w:t>
            </w:r>
            <w:r w:rsidRPr="007E6115">
              <w:rPr>
                <w:rFonts w:eastAsia="Times New Roman" w:cstheme="minorHAnsi"/>
                <w:b/>
                <w:i/>
                <w:sz w:val="18"/>
                <w:szCs w:val="18"/>
                <w:lang w:eastAsia="pl-PL"/>
              </w:rPr>
              <w:t>857/9</w:t>
            </w:r>
          </w:p>
        </w:tc>
        <w:tc>
          <w:tcPr>
            <w:tcW w:w="1145" w:type="dxa"/>
            <w:vAlign w:val="center"/>
          </w:tcPr>
          <w:p w14:paraId="2601A1DD" w14:textId="214C65A3" w:rsidR="008D54C4" w:rsidRPr="007E6115" w:rsidRDefault="008D54C4" w:rsidP="00235D54">
            <w:pPr>
              <w:jc w:val="center"/>
              <w:rPr>
                <w:rFonts w:eastAsia="Times New Roman" w:cstheme="minorHAnsi"/>
                <w:b/>
                <w:i/>
                <w:sz w:val="18"/>
                <w:szCs w:val="18"/>
                <w:lang w:eastAsia="pl-PL"/>
              </w:rPr>
            </w:pPr>
            <w:r w:rsidRPr="007E6115">
              <w:rPr>
                <w:rFonts w:eastAsia="Times New Roman" w:cstheme="minorHAnsi"/>
                <w:b/>
                <w:i/>
                <w:sz w:val="18"/>
                <w:szCs w:val="18"/>
                <w:lang w:eastAsia="pl-PL"/>
              </w:rPr>
              <w:t>Bez obciążeń</w:t>
            </w:r>
          </w:p>
        </w:tc>
      </w:tr>
    </w:tbl>
    <w:p w14:paraId="58F93022" w14:textId="77777777" w:rsidR="007525B9" w:rsidRDefault="007525B9" w:rsidP="007525B9">
      <w:pPr>
        <w:pStyle w:val="Tekstpodstawowy"/>
        <w:jc w:val="left"/>
        <w:rPr>
          <w:rFonts w:ascii="Calibri" w:hAnsi="Calibri" w:cs="Calibri"/>
          <w:b/>
          <w:i/>
          <w:sz w:val="20"/>
          <w:szCs w:val="20"/>
        </w:rPr>
      </w:pPr>
    </w:p>
    <w:p w14:paraId="22CD2641" w14:textId="7D0FD70B" w:rsidR="008D54C4" w:rsidRDefault="008D54C4" w:rsidP="008212FA">
      <w:pPr>
        <w:keepLines/>
        <w:spacing w:after="0" w:line="240" w:lineRule="auto"/>
        <w:ind w:firstLine="340"/>
        <w:jc w:val="both"/>
        <w:rPr>
          <w:rFonts w:asciiTheme="majorHAnsi" w:eastAsia="Times New Roman" w:hAnsiTheme="majorHAnsi" w:cstheme="majorHAnsi"/>
          <w:i/>
          <w:sz w:val="18"/>
          <w:szCs w:val="18"/>
          <w:lang w:eastAsia="pl-PL"/>
        </w:rPr>
      </w:pPr>
      <w:bookmarkStart w:id="0" w:name="_Hlk83729692"/>
      <w:r w:rsidRPr="008D54C4">
        <w:rPr>
          <w:rFonts w:asciiTheme="majorHAnsi" w:eastAsia="Times New Roman" w:hAnsiTheme="majorHAnsi" w:cstheme="majorHAnsi"/>
          <w:i/>
          <w:sz w:val="18"/>
          <w:szCs w:val="18"/>
          <w:lang w:eastAsia="pl-PL"/>
        </w:rPr>
        <w:t xml:space="preserve">Działka  nr  283  </w:t>
      </w:r>
      <w:bookmarkStart w:id="1" w:name="_Hlk175031659"/>
      <w:r w:rsidRPr="008D54C4">
        <w:rPr>
          <w:rFonts w:asciiTheme="majorHAnsi" w:eastAsia="Times New Roman" w:hAnsiTheme="majorHAnsi" w:cstheme="majorHAnsi"/>
          <w:i/>
          <w:sz w:val="18"/>
          <w:szCs w:val="18"/>
          <w:lang w:eastAsia="pl-PL"/>
        </w:rPr>
        <w:t>położona  w obrębie geodezyjnym Lulkowo,  zgodnie z  ustaleniami  miejscowego  planu  zagospodarowania  przestrzennego  zatwierdzonego  Uchwałą  Rady  Gminy  Gniezno  nr  LV/428/2022  z  dnia  2</w:t>
      </w:r>
      <w:r w:rsidR="00E4476B">
        <w:rPr>
          <w:rFonts w:asciiTheme="majorHAnsi" w:eastAsia="Times New Roman" w:hAnsiTheme="majorHAnsi" w:cstheme="majorHAnsi"/>
          <w:i/>
          <w:sz w:val="18"/>
          <w:szCs w:val="18"/>
          <w:lang w:eastAsia="pl-PL"/>
        </w:rPr>
        <w:t>9</w:t>
      </w:r>
      <w:r w:rsidRPr="008D54C4">
        <w:rPr>
          <w:rFonts w:asciiTheme="majorHAnsi" w:eastAsia="Times New Roman" w:hAnsiTheme="majorHAnsi" w:cstheme="majorHAnsi"/>
          <w:i/>
          <w:sz w:val="18"/>
          <w:szCs w:val="18"/>
          <w:lang w:eastAsia="pl-PL"/>
        </w:rPr>
        <w:t xml:space="preserve">  września  2022  r.,  ogłoszonym  w  Dzienniku  Urzędowym  Województwa  Wielkopolskiego,  poz.  6961  z dnia  6  października  2022  r.,  przeznaczona  jest  pod  tereny  </w:t>
      </w:r>
      <w:bookmarkEnd w:id="1"/>
      <w:r w:rsidRPr="008D54C4">
        <w:rPr>
          <w:rFonts w:asciiTheme="majorHAnsi" w:eastAsia="Times New Roman" w:hAnsiTheme="majorHAnsi" w:cstheme="majorHAnsi"/>
          <w:i/>
          <w:sz w:val="18"/>
          <w:szCs w:val="18"/>
          <w:lang w:eastAsia="pl-PL"/>
        </w:rPr>
        <w:t>obiektów  produkcyjnych,  składów  i  magazynów  oraz  usług  -  symbol  planu  2PU</w:t>
      </w:r>
      <w:r w:rsidRPr="007E6115">
        <w:rPr>
          <w:rFonts w:asciiTheme="majorHAnsi" w:eastAsia="Times New Roman" w:hAnsiTheme="majorHAnsi" w:cstheme="majorHAnsi"/>
          <w:i/>
          <w:lang w:eastAsia="pl-PL"/>
        </w:rPr>
        <w:t xml:space="preserve">, </w:t>
      </w:r>
      <w:r w:rsidRPr="007E6115">
        <w:rPr>
          <w:rFonts w:asciiTheme="majorHAnsi" w:eastAsia="Times New Roman" w:hAnsiTheme="majorHAnsi" w:cstheme="majorHAnsi"/>
          <w:i/>
          <w:sz w:val="18"/>
          <w:szCs w:val="18"/>
          <w:lang w:eastAsia="pl-PL"/>
        </w:rPr>
        <w:t xml:space="preserve">natomiast działka nr 282 </w:t>
      </w:r>
      <w:r w:rsidRPr="008D54C4">
        <w:rPr>
          <w:rFonts w:asciiTheme="majorHAnsi" w:eastAsia="Times New Roman" w:hAnsiTheme="majorHAnsi" w:cstheme="majorHAnsi"/>
          <w:i/>
          <w:sz w:val="18"/>
          <w:szCs w:val="18"/>
          <w:lang w:eastAsia="pl-PL"/>
        </w:rPr>
        <w:t>położona  w obrębie geodezyjnym Lulkowo,  zgodnie z  ustaleniami  miejscowego  planu  zagospodarowania  przestrzennego  zatwierdzonego  Uchwałą  Rady  Gminy  Gniezno  nr  LV/428/2022  z  dnia  2</w:t>
      </w:r>
      <w:r w:rsidR="00E4476B">
        <w:rPr>
          <w:rFonts w:asciiTheme="majorHAnsi" w:eastAsia="Times New Roman" w:hAnsiTheme="majorHAnsi" w:cstheme="majorHAnsi"/>
          <w:i/>
          <w:sz w:val="18"/>
          <w:szCs w:val="18"/>
          <w:lang w:eastAsia="pl-PL"/>
        </w:rPr>
        <w:t>9</w:t>
      </w:r>
      <w:r w:rsidRPr="008D54C4">
        <w:rPr>
          <w:rFonts w:asciiTheme="majorHAnsi" w:eastAsia="Times New Roman" w:hAnsiTheme="majorHAnsi" w:cstheme="majorHAnsi"/>
          <w:i/>
          <w:sz w:val="18"/>
          <w:szCs w:val="18"/>
          <w:lang w:eastAsia="pl-PL"/>
        </w:rPr>
        <w:t xml:space="preserve">  września  2022  r.,  ogłoszonym  w  Dzienni</w:t>
      </w:r>
      <w:r w:rsidRPr="007E6115">
        <w:rPr>
          <w:rFonts w:asciiTheme="majorHAnsi" w:eastAsia="Times New Roman" w:hAnsiTheme="majorHAnsi" w:cstheme="majorHAnsi"/>
          <w:i/>
          <w:sz w:val="18"/>
          <w:szCs w:val="18"/>
          <w:lang w:eastAsia="pl-PL"/>
        </w:rPr>
        <w:t xml:space="preserve">ku </w:t>
      </w:r>
      <w:r w:rsidRPr="008D54C4">
        <w:rPr>
          <w:rFonts w:asciiTheme="majorHAnsi" w:eastAsia="Times New Roman" w:hAnsiTheme="majorHAnsi" w:cstheme="majorHAnsi"/>
          <w:i/>
          <w:sz w:val="18"/>
          <w:szCs w:val="18"/>
          <w:lang w:eastAsia="pl-PL"/>
        </w:rPr>
        <w:t>Urzędowym  Województwa  Wielkopolskiego,  poz.  6961  z dnia  6  października  2022  r.,  przeznaczona  jest  pod  tereny</w:t>
      </w:r>
      <w:r w:rsidRPr="007E6115">
        <w:rPr>
          <w:rFonts w:asciiTheme="majorHAnsi" w:eastAsia="Times New Roman" w:hAnsiTheme="majorHAnsi" w:cstheme="majorHAnsi"/>
          <w:i/>
          <w:sz w:val="18"/>
          <w:szCs w:val="18"/>
          <w:lang w:eastAsia="pl-PL"/>
        </w:rPr>
        <w:t xml:space="preserve"> zabudowy  usługowej  -  symbol  planu  U.</w:t>
      </w:r>
      <w:r w:rsidRPr="008D54C4">
        <w:rPr>
          <w:rFonts w:asciiTheme="majorHAnsi" w:eastAsia="Times New Roman" w:hAnsiTheme="majorHAnsi" w:cstheme="majorHAnsi"/>
          <w:i/>
          <w:sz w:val="18"/>
          <w:szCs w:val="18"/>
          <w:lang w:eastAsia="pl-PL"/>
        </w:rPr>
        <w:t xml:space="preserve">  </w:t>
      </w:r>
    </w:p>
    <w:p w14:paraId="53090ECC" w14:textId="4130CEF5" w:rsidR="004B2A7A" w:rsidRPr="004B2A7A" w:rsidRDefault="004B2A7A" w:rsidP="008212FA">
      <w:pPr>
        <w:pStyle w:val="Tekstpodstawowy"/>
        <w:jc w:val="both"/>
        <w:rPr>
          <w:rFonts w:ascii="Calibri Light" w:hAnsi="Calibri Light" w:cs="Calibri Light"/>
          <w:i/>
          <w:sz w:val="18"/>
          <w:szCs w:val="18"/>
        </w:rPr>
      </w:pPr>
      <w:r w:rsidRPr="004B2A7A">
        <w:rPr>
          <w:rFonts w:ascii="Calibri Light" w:hAnsi="Calibri Light" w:cs="Calibri Light"/>
          <w:i/>
          <w:sz w:val="18"/>
          <w:szCs w:val="18"/>
        </w:rPr>
        <w:t xml:space="preserve">Do  wylicytowanej  ceny  doliczony  będzie  podatek  VAT  zgodnie  z  obowiązującymi  przepisami. </w:t>
      </w:r>
    </w:p>
    <w:p w14:paraId="6E8D686E" w14:textId="4F7A25E0" w:rsidR="008D54C4" w:rsidRPr="007E6115" w:rsidRDefault="008D54C4" w:rsidP="008D54C4">
      <w:pPr>
        <w:keepLines/>
        <w:spacing w:before="120" w:after="120" w:line="276" w:lineRule="auto"/>
        <w:ind w:firstLine="340"/>
        <w:jc w:val="both"/>
        <w:rPr>
          <w:rFonts w:asciiTheme="majorHAnsi" w:eastAsia="Times New Roman" w:hAnsiTheme="majorHAnsi" w:cstheme="majorHAnsi"/>
          <w:i/>
          <w:sz w:val="18"/>
          <w:szCs w:val="18"/>
          <w:lang w:eastAsia="pl-PL"/>
        </w:rPr>
      </w:pPr>
      <w:r w:rsidRPr="007E6115">
        <w:rPr>
          <w:rFonts w:asciiTheme="majorHAnsi" w:eastAsia="Times New Roman" w:hAnsiTheme="majorHAnsi" w:cstheme="majorHAnsi"/>
          <w:i/>
          <w:sz w:val="18"/>
          <w:szCs w:val="18"/>
          <w:lang w:eastAsia="pl-PL"/>
        </w:rPr>
        <w:t>Przedmiotowe  działki  zostaną  sprzedane  łącznie.</w:t>
      </w:r>
    </w:p>
    <w:p w14:paraId="1097FB36" w14:textId="114C6AAC" w:rsidR="007C327A" w:rsidRPr="007E6115" w:rsidRDefault="007C327A" w:rsidP="004B2A7A">
      <w:pPr>
        <w:keepLines/>
        <w:spacing w:before="120" w:after="120" w:line="240" w:lineRule="auto"/>
        <w:ind w:firstLine="340"/>
        <w:jc w:val="both"/>
        <w:rPr>
          <w:rFonts w:asciiTheme="majorHAnsi" w:hAnsiTheme="majorHAnsi" w:cstheme="majorHAnsi"/>
          <w:i/>
          <w:sz w:val="18"/>
          <w:szCs w:val="18"/>
        </w:rPr>
      </w:pPr>
      <w:r w:rsidRPr="00E4476B">
        <w:rPr>
          <w:rFonts w:asciiTheme="majorHAnsi" w:hAnsiTheme="majorHAnsi" w:cstheme="majorHAnsi"/>
          <w:bCs/>
          <w:i/>
          <w:sz w:val="18"/>
          <w:szCs w:val="18"/>
        </w:rPr>
        <w:t xml:space="preserve">Przetarg odbędzie się  w  dniu  </w:t>
      </w:r>
      <w:r w:rsidR="0000250A">
        <w:rPr>
          <w:rFonts w:asciiTheme="majorHAnsi" w:hAnsiTheme="majorHAnsi" w:cstheme="majorHAnsi"/>
          <w:bCs/>
          <w:i/>
          <w:sz w:val="18"/>
          <w:szCs w:val="18"/>
        </w:rPr>
        <w:t>9</w:t>
      </w:r>
      <w:r w:rsidR="00796F23">
        <w:rPr>
          <w:rFonts w:asciiTheme="majorHAnsi" w:hAnsiTheme="majorHAnsi" w:cstheme="majorHAnsi"/>
          <w:bCs/>
          <w:i/>
          <w:sz w:val="18"/>
          <w:szCs w:val="18"/>
        </w:rPr>
        <w:t xml:space="preserve">  czerwca  2026</w:t>
      </w:r>
      <w:r w:rsidR="005F0159" w:rsidRPr="00E4476B">
        <w:rPr>
          <w:rFonts w:asciiTheme="majorHAnsi" w:hAnsiTheme="majorHAnsi" w:cstheme="majorHAnsi"/>
          <w:bCs/>
          <w:i/>
          <w:sz w:val="18"/>
          <w:szCs w:val="18"/>
        </w:rPr>
        <w:t xml:space="preserve"> r., o godz. 1</w:t>
      </w:r>
      <w:r w:rsidR="007C0841" w:rsidRPr="00E4476B">
        <w:rPr>
          <w:rFonts w:asciiTheme="majorHAnsi" w:hAnsiTheme="majorHAnsi" w:cstheme="majorHAnsi"/>
          <w:bCs/>
          <w:i/>
          <w:sz w:val="18"/>
          <w:szCs w:val="18"/>
        </w:rPr>
        <w:t>0</w:t>
      </w:r>
      <w:r w:rsidR="008E4056" w:rsidRPr="00E4476B">
        <w:rPr>
          <w:rFonts w:asciiTheme="majorHAnsi" w:hAnsiTheme="majorHAnsi" w:cstheme="majorHAnsi"/>
          <w:bCs/>
          <w:i/>
          <w:sz w:val="18"/>
          <w:szCs w:val="18"/>
          <w:vertAlign w:val="superscript"/>
        </w:rPr>
        <w:t>0</w:t>
      </w:r>
      <w:r w:rsidRPr="00E4476B">
        <w:rPr>
          <w:rFonts w:asciiTheme="majorHAnsi" w:hAnsiTheme="majorHAnsi" w:cstheme="majorHAnsi"/>
          <w:bCs/>
          <w:i/>
          <w:sz w:val="18"/>
          <w:szCs w:val="18"/>
          <w:vertAlign w:val="superscript"/>
        </w:rPr>
        <w:t>0</w:t>
      </w:r>
      <w:r w:rsidRPr="00E4476B">
        <w:rPr>
          <w:rFonts w:asciiTheme="majorHAnsi" w:hAnsiTheme="majorHAnsi" w:cstheme="majorHAnsi"/>
          <w:bCs/>
          <w:i/>
          <w:sz w:val="18"/>
          <w:szCs w:val="18"/>
        </w:rPr>
        <w:t>,</w:t>
      </w:r>
      <w:r w:rsidRPr="007E6115">
        <w:rPr>
          <w:rFonts w:asciiTheme="majorHAnsi" w:hAnsiTheme="majorHAnsi" w:cstheme="majorHAnsi"/>
          <w:i/>
          <w:sz w:val="18"/>
          <w:szCs w:val="18"/>
        </w:rPr>
        <w:t xml:space="preserve">  sala </w:t>
      </w:r>
      <w:r w:rsidR="007E6115">
        <w:rPr>
          <w:rFonts w:asciiTheme="majorHAnsi" w:hAnsiTheme="majorHAnsi" w:cstheme="majorHAnsi"/>
          <w:i/>
          <w:sz w:val="18"/>
          <w:szCs w:val="18"/>
        </w:rPr>
        <w:t xml:space="preserve"> </w:t>
      </w:r>
      <w:r w:rsidRPr="007E6115">
        <w:rPr>
          <w:rFonts w:asciiTheme="majorHAnsi" w:hAnsiTheme="majorHAnsi" w:cstheme="majorHAnsi"/>
          <w:i/>
          <w:sz w:val="18"/>
          <w:szCs w:val="18"/>
        </w:rPr>
        <w:t xml:space="preserve">nr 13  w  siedzibie Urzędu Gminy Gniezno,  </w:t>
      </w:r>
      <w:r w:rsidR="007E6115">
        <w:rPr>
          <w:rFonts w:asciiTheme="majorHAnsi" w:hAnsiTheme="majorHAnsi" w:cstheme="majorHAnsi"/>
          <w:i/>
          <w:sz w:val="18"/>
          <w:szCs w:val="18"/>
        </w:rPr>
        <w:br/>
      </w:r>
      <w:r w:rsidRPr="007E6115">
        <w:rPr>
          <w:rFonts w:asciiTheme="majorHAnsi" w:hAnsiTheme="majorHAnsi" w:cstheme="majorHAnsi"/>
          <w:i/>
          <w:sz w:val="18"/>
          <w:szCs w:val="18"/>
        </w:rPr>
        <w:t>al. Reymonta 9-11.</w:t>
      </w:r>
    </w:p>
    <w:p w14:paraId="6E7AAF2C" w14:textId="77777777" w:rsidR="007525B9" w:rsidRPr="007E6115" w:rsidRDefault="007C327A" w:rsidP="007C327A">
      <w:pPr>
        <w:pStyle w:val="Tekstpodstawowy"/>
        <w:jc w:val="both"/>
        <w:rPr>
          <w:rFonts w:asciiTheme="majorHAnsi" w:hAnsiTheme="majorHAnsi" w:cstheme="majorHAnsi"/>
          <w:i/>
          <w:sz w:val="18"/>
          <w:szCs w:val="18"/>
        </w:rPr>
      </w:pPr>
      <w:r w:rsidRPr="007E6115">
        <w:rPr>
          <w:rFonts w:asciiTheme="majorHAnsi" w:hAnsiTheme="majorHAnsi" w:cstheme="majorHAnsi"/>
          <w:i/>
          <w:sz w:val="18"/>
          <w:szCs w:val="18"/>
        </w:rPr>
        <w:t xml:space="preserve">Postąpienie pierwsze o 1% ceny wywoławczej, z zaokrągleniem w górę do pełnych dziesiątek złotych. </w:t>
      </w:r>
    </w:p>
    <w:bookmarkEnd w:id="0"/>
    <w:p w14:paraId="37DEF516" w14:textId="5ED90F64" w:rsidR="007525B9" w:rsidRPr="007E6115" w:rsidRDefault="007525B9" w:rsidP="007C327A">
      <w:pPr>
        <w:pStyle w:val="Tekstpodstawowy"/>
        <w:jc w:val="both"/>
        <w:rPr>
          <w:rFonts w:asciiTheme="majorHAnsi" w:hAnsiTheme="majorHAnsi" w:cstheme="majorHAnsi"/>
          <w:i/>
          <w:sz w:val="20"/>
          <w:szCs w:val="20"/>
        </w:rPr>
      </w:pPr>
    </w:p>
    <w:p w14:paraId="318D0EB3" w14:textId="54380520" w:rsidR="007C327A" w:rsidRPr="00E4476B" w:rsidRDefault="007C327A" w:rsidP="007C327A">
      <w:pPr>
        <w:pStyle w:val="Tekstpodstawowy"/>
        <w:jc w:val="both"/>
        <w:rPr>
          <w:rFonts w:asciiTheme="majorHAnsi" w:hAnsiTheme="majorHAnsi" w:cstheme="majorHAnsi"/>
          <w:bCs/>
          <w:i/>
          <w:sz w:val="18"/>
          <w:szCs w:val="18"/>
        </w:rPr>
      </w:pPr>
      <w:r w:rsidRPr="00E4476B">
        <w:rPr>
          <w:rFonts w:asciiTheme="majorHAnsi" w:hAnsiTheme="majorHAnsi" w:cstheme="majorHAnsi"/>
          <w:bCs/>
          <w:i/>
          <w:sz w:val="18"/>
          <w:szCs w:val="18"/>
        </w:rPr>
        <w:t>Wadium w wysokości</w:t>
      </w:r>
      <w:r w:rsidR="007D23F5" w:rsidRPr="00E4476B">
        <w:rPr>
          <w:rFonts w:asciiTheme="majorHAnsi" w:hAnsiTheme="majorHAnsi" w:cstheme="majorHAnsi"/>
          <w:bCs/>
          <w:i/>
          <w:sz w:val="18"/>
          <w:szCs w:val="18"/>
        </w:rPr>
        <w:t xml:space="preserve"> </w:t>
      </w:r>
      <w:r w:rsidRPr="00E4476B">
        <w:rPr>
          <w:rFonts w:asciiTheme="majorHAnsi" w:hAnsiTheme="majorHAnsi" w:cstheme="majorHAnsi"/>
          <w:bCs/>
          <w:i/>
          <w:sz w:val="18"/>
          <w:szCs w:val="18"/>
        </w:rPr>
        <w:t xml:space="preserve">10% ceny wywoławczej; wadium może  być wnoszone w pieniądzu, obligacjach Skarbu Państwa lub w papierach wartościowych dopuszczonych do obrotu publicznego. </w:t>
      </w:r>
      <w:r w:rsidR="004B2A7A" w:rsidRPr="00E4476B">
        <w:rPr>
          <w:rFonts w:asciiTheme="majorHAnsi" w:hAnsiTheme="majorHAnsi" w:cstheme="majorHAnsi"/>
          <w:bCs/>
          <w:i/>
          <w:sz w:val="18"/>
          <w:szCs w:val="18"/>
        </w:rPr>
        <w:br/>
      </w:r>
      <w:r w:rsidRPr="00E4476B">
        <w:rPr>
          <w:rFonts w:asciiTheme="majorHAnsi" w:hAnsiTheme="majorHAnsi" w:cstheme="majorHAnsi"/>
          <w:bCs/>
          <w:i/>
          <w:sz w:val="18"/>
          <w:szCs w:val="18"/>
        </w:rPr>
        <w:t xml:space="preserve">Na potwierdzeniu wpłaty wadium należy podać nr działki i miejscowość, w której położona jest działka oraz podać pełny adres zamieszkania osoby przystępującej do przetargu. </w:t>
      </w:r>
    </w:p>
    <w:p w14:paraId="57B461A6" w14:textId="1B9B3712" w:rsidR="007C327A" w:rsidRPr="00E4476B" w:rsidRDefault="007C327A" w:rsidP="007C327A">
      <w:pPr>
        <w:pStyle w:val="Tekstpodstawowy"/>
        <w:jc w:val="both"/>
        <w:rPr>
          <w:rFonts w:asciiTheme="majorHAnsi" w:hAnsiTheme="majorHAnsi" w:cstheme="majorHAnsi"/>
          <w:bCs/>
          <w:i/>
          <w:sz w:val="18"/>
          <w:szCs w:val="18"/>
        </w:rPr>
      </w:pPr>
      <w:r w:rsidRPr="00E4476B">
        <w:rPr>
          <w:rFonts w:asciiTheme="majorHAnsi" w:hAnsiTheme="majorHAnsi" w:cstheme="majorHAnsi"/>
          <w:bCs/>
          <w:i/>
          <w:sz w:val="18"/>
          <w:szCs w:val="18"/>
        </w:rPr>
        <w:t>Wadium</w:t>
      </w:r>
      <w:r w:rsidR="008E4056" w:rsidRPr="00E4476B">
        <w:rPr>
          <w:rFonts w:asciiTheme="majorHAnsi" w:hAnsiTheme="majorHAnsi" w:cstheme="majorHAnsi"/>
          <w:bCs/>
          <w:i/>
          <w:sz w:val="18"/>
          <w:szCs w:val="18"/>
        </w:rPr>
        <w:t xml:space="preserve"> w kwocie </w:t>
      </w:r>
      <w:r w:rsidRPr="00E4476B">
        <w:rPr>
          <w:rFonts w:asciiTheme="majorHAnsi" w:hAnsiTheme="majorHAnsi" w:cstheme="majorHAnsi"/>
          <w:bCs/>
          <w:i/>
          <w:sz w:val="18"/>
          <w:szCs w:val="18"/>
        </w:rPr>
        <w:t xml:space="preserve"> </w:t>
      </w:r>
      <w:r w:rsidR="00844A20" w:rsidRPr="00E4476B">
        <w:rPr>
          <w:rFonts w:asciiTheme="majorHAnsi" w:hAnsiTheme="majorHAnsi" w:cstheme="majorHAnsi"/>
          <w:bCs/>
          <w:i/>
          <w:sz w:val="18"/>
          <w:szCs w:val="18"/>
        </w:rPr>
        <w:t>1</w:t>
      </w:r>
      <w:r w:rsidR="002464DC">
        <w:rPr>
          <w:rFonts w:asciiTheme="majorHAnsi" w:hAnsiTheme="majorHAnsi" w:cstheme="majorHAnsi"/>
          <w:bCs/>
          <w:i/>
          <w:sz w:val="18"/>
          <w:szCs w:val="18"/>
        </w:rPr>
        <w:t> 389 000</w:t>
      </w:r>
      <w:r w:rsidR="00844A20" w:rsidRPr="00E4476B">
        <w:rPr>
          <w:rFonts w:asciiTheme="majorHAnsi" w:hAnsiTheme="majorHAnsi" w:cstheme="majorHAnsi"/>
          <w:bCs/>
          <w:i/>
          <w:sz w:val="18"/>
          <w:szCs w:val="18"/>
        </w:rPr>
        <w:t>,00  zł  dla  działki  nr 283  i  3</w:t>
      </w:r>
      <w:r w:rsidR="002464DC">
        <w:rPr>
          <w:rFonts w:asciiTheme="majorHAnsi" w:hAnsiTheme="majorHAnsi" w:cstheme="majorHAnsi"/>
          <w:bCs/>
          <w:i/>
          <w:sz w:val="18"/>
          <w:szCs w:val="18"/>
        </w:rPr>
        <w:t>9</w:t>
      </w:r>
      <w:r w:rsidR="00844A20" w:rsidRPr="00E4476B">
        <w:rPr>
          <w:rFonts w:asciiTheme="majorHAnsi" w:hAnsiTheme="majorHAnsi" w:cstheme="majorHAnsi"/>
          <w:bCs/>
          <w:i/>
          <w:sz w:val="18"/>
          <w:szCs w:val="18"/>
        </w:rPr>
        <w:t> </w:t>
      </w:r>
      <w:r w:rsidR="002464DC">
        <w:rPr>
          <w:rFonts w:asciiTheme="majorHAnsi" w:hAnsiTheme="majorHAnsi" w:cstheme="majorHAnsi"/>
          <w:bCs/>
          <w:i/>
          <w:sz w:val="18"/>
          <w:szCs w:val="18"/>
        </w:rPr>
        <w:t>2</w:t>
      </w:r>
      <w:r w:rsidR="00844A20" w:rsidRPr="00E4476B">
        <w:rPr>
          <w:rFonts w:asciiTheme="majorHAnsi" w:hAnsiTheme="majorHAnsi" w:cstheme="majorHAnsi"/>
          <w:bCs/>
          <w:i/>
          <w:sz w:val="18"/>
          <w:szCs w:val="18"/>
        </w:rPr>
        <w:t>00,00  zł  dla  działki  nr  282</w:t>
      </w:r>
      <w:r w:rsidR="007D23F5" w:rsidRPr="00E4476B">
        <w:rPr>
          <w:rFonts w:asciiTheme="majorHAnsi" w:hAnsiTheme="majorHAnsi" w:cstheme="majorHAnsi"/>
          <w:bCs/>
          <w:i/>
          <w:sz w:val="18"/>
          <w:szCs w:val="18"/>
        </w:rPr>
        <w:t xml:space="preserve"> </w:t>
      </w:r>
      <w:r w:rsidR="003D5462" w:rsidRPr="00E4476B">
        <w:rPr>
          <w:rFonts w:asciiTheme="majorHAnsi" w:hAnsiTheme="majorHAnsi" w:cstheme="majorHAnsi"/>
          <w:bCs/>
          <w:i/>
          <w:sz w:val="18"/>
          <w:szCs w:val="18"/>
        </w:rPr>
        <w:t xml:space="preserve"> </w:t>
      </w:r>
      <w:r w:rsidRPr="00E4476B">
        <w:rPr>
          <w:rFonts w:asciiTheme="majorHAnsi" w:hAnsiTheme="majorHAnsi" w:cstheme="majorHAnsi"/>
          <w:bCs/>
          <w:i/>
          <w:sz w:val="18"/>
          <w:szCs w:val="18"/>
        </w:rPr>
        <w:t xml:space="preserve">należy wpłacić  do  dnia  </w:t>
      </w:r>
      <w:r w:rsidR="002464DC">
        <w:rPr>
          <w:rFonts w:asciiTheme="majorHAnsi" w:hAnsiTheme="majorHAnsi" w:cstheme="majorHAnsi"/>
          <w:bCs/>
          <w:i/>
          <w:sz w:val="18"/>
          <w:szCs w:val="18"/>
        </w:rPr>
        <w:t>1  czerwca  2026</w:t>
      </w:r>
      <w:r w:rsidRPr="00E4476B">
        <w:rPr>
          <w:rFonts w:asciiTheme="majorHAnsi" w:hAnsiTheme="majorHAnsi" w:cstheme="majorHAnsi"/>
          <w:bCs/>
          <w:i/>
          <w:sz w:val="18"/>
          <w:szCs w:val="18"/>
        </w:rPr>
        <w:t xml:space="preserve"> r. na konto Urzędu Gminy Gniezno  PKO BP O/Gniezno  </w:t>
      </w:r>
      <w:r w:rsidR="007E6115" w:rsidRPr="00E4476B">
        <w:rPr>
          <w:rFonts w:asciiTheme="majorHAnsi" w:hAnsiTheme="majorHAnsi" w:cstheme="majorHAnsi"/>
          <w:bCs/>
          <w:i/>
          <w:sz w:val="18"/>
          <w:szCs w:val="18"/>
        </w:rPr>
        <w:br/>
      </w:r>
      <w:r w:rsidRPr="00E4476B">
        <w:rPr>
          <w:rFonts w:asciiTheme="majorHAnsi" w:hAnsiTheme="majorHAnsi" w:cstheme="majorHAnsi"/>
          <w:bCs/>
          <w:i/>
          <w:sz w:val="18"/>
          <w:szCs w:val="18"/>
        </w:rPr>
        <w:t>45 1020 4115 0000 9002 0004 2333.</w:t>
      </w:r>
    </w:p>
    <w:p w14:paraId="0FBD0670" w14:textId="77777777" w:rsidR="007525B9" w:rsidRPr="007E6115" w:rsidRDefault="007525B9" w:rsidP="007C327A">
      <w:pPr>
        <w:pStyle w:val="Tekstpodstawowy"/>
        <w:jc w:val="both"/>
        <w:rPr>
          <w:rFonts w:asciiTheme="majorHAnsi" w:hAnsiTheme="majorHAnsi" w:cstheme="majorHAnsi"/>
          <w:b/>
          <w:i/>
          <w:sz w:val="20"/>
          <w:szCs w:val="20"/>
        </w:rPr>
      </w:pPr>
    </w:p>
    <w:p w14:paraId="3E1305D5" w14:textId="6804B01A" w:rsidR="007C327A" w:rsidRPr="007E6115" w:rsidRDefault="007C327A" w:rsidP="004B2A7A">
      <w:pPr>
        <w:pStyle w:val="Tekstpodstawowy"/>
        <w:jc w:val="both"/>
        <w:rPr>
          <w:rFonts w:asciiTheme="majorHAnsi" w:hAnsiTheme="majorHAnsi" w:cstheme="majorHAnsi"/>
          <w:i/>
          <w:sz w:val="18"/>
          <w:szCs w:val="18"/>
        </w:rPr>
      </w:pPr>
      <w:r w:rsidRPr="007E6115">
        <w:rPr>
          <w:rFonts w:asciiTheme="majorHAnsi" w:hAnsiTheme="majorHAnsi" w:cstheme="majorHAnsi"/>
          <w:i/>
          <w:sz w:val="18"/>
          <w:szCs w:val="18"/>
        </w:rPr>
        <w:t xml:space="preserve">Uczestnik przetargu zobowiązany jest przedłożyć komisji przetargowej dowód wpłaty wadium. Wadium wpłacone przez uczestnika, który wygrał przetarg zalicza się na poczet ceny nabycia. Pozostałym uczestnikom wadium zwraca się niezwłocznie po zakończonym przetargu nie później niż przed upływem 3 dni od dnia przetargu. Wadium </w:t>
      </w:r>
      <w:r w:rsidR="009A6088" w:rsidRPr="007E6115">
        <w:rPr>
          <w:rFonts w:asciiTheme="majorHAnsi" w:hAnsiTheme="majorHAnsi" w:cstheme="majorHAnsi"/>
          <w:i/>
          <w:sz w:val="18"/>
          <w:szCs w:val="18"/>
        </w:rPr>
        <w:t>przepada</w:t>
      </w:r>
      <w:r w:rsidRPr="007E6115">
        <w:rPr>
          <w:rFonts w:asciiTheme="majorHAnsi" w:hAnsiTheme="majorHAnsi" w:cstheme="majorHAnsi"/>
          <w:i/>
          <w:sz w:val="18"/>
          <w:szCs w:val="18"/>
        </w:rPr>
        <w:t xml:space="preserve"> w razie uchylania się uczestnika, który  przetarg wygrał od zawarcia umowy notarialnej.</w:t>
      </w:r>
    </w:p>
    <w:p w14:paraId="5B27ED6F" w14:textId="481045D6" w:rsidR="003D5462" w:rsidRPr="007E6115" w:rsidRDefault="003D5462" w:rsidP="004B2A7A">
      <w:pPr>
        <w:pStyle w:val="Tekstpodstawowy"/>
        <w:jc w:val="both"/>
        <w:rPr>
          <w:rFonts w:asciiTheme="majorHAnsi" w:hAnsiTheme="majorHAnsi" w:cstheme="majorHAnsi"/>
          <w:i/>
          <w:iCs/>
          <w:sz w:val="18"/>
          <w:szCs w:val="18"/>
        </w:rPr>
      </w:pPr>
      <w:r w:rsidRPr="007E6115">
        <w:rPr>
          <w:rFonts w:asciiTheme="majorHAnsi" w:hAnsiTheme="majorHAnsi" w:cstheme="majorHAnsi"/>
          <w:i/>
          <w:iCs/>
          <w:sz w:val="18"/>
          <w:szCs w:val="18"/>
        </w:rPr>
        <w:t>Cudzoziemcy (w rozumieniu ustawy z dnia 24 marca 1920 r o nabywaniu nieruchomości przez cudzoziemców (Dz. U. z 2017 r., poz. 2278) w przypadku wygrania przetargu zobowiązani są przed zawarciem umowy notarialnej uzyskać zgodę Ministra Spraw Wewnętrznych i Administracji zezwalającą na nabycie nieruchomości w przypadkach, gdy zgoda taka jest wymagana.</w:t>
      </w:r>
    </w:p>
    <w:p w14:paraId="7AD37EC3" w14:textId="77777777" w:rsidR="007C327A" w:rsidRPr="007E6115" w:rsidRDefault="007C327A" w:rsidP="004B2A7A">
      <w:pPr>
        <w:pStyle w:val="Tekstpodstawowy"/>
        <w:jc w:val="both"/>
        <w:rPr>
          <w:rFonts w:asciiTheme="majorHAnsi" w:hAnsiTheme="majorHAnsi" w:cstheme="majorHAnsi"/>
          <w:i/>
          <w:sz w:val="18"/>
          <w:szCs w:val="18"/>
        </w:rPr>
      </w:pPr>
      <w:r w:rsidRPr="007E6115">
        <w:rPr>
          <w:rFonts w:asciiTheme="majorHAnsi" w:hAnsiTheme="majorHAnsi" w:cstheme="majorHAnsi"/>
          <w:i/>
          <w:sz w:val="18"/>
          <w:szCs w:val="18"/>
        </w:rPr>
        <w:t xml:space="preserve">Koszty umowy notarialnej  oraz  wpisu do Ksiąg Wieczystych ponosi nabywca. </w:t>
      </w:r>
    </w:p>
    <w:p w14:paraId="1EB2FC7F" w14:textId="7BB0F2C3" w:rsidR="007C327A" w:rsidRPr="007E6115" w:rsidRDefault="007C327A" w:rsidP="004B2A7A">
      <w:pPr>
        <w:pStyle w:val="Tekstpodstawowy"/>
        <w:jc w:val="both"/>
        <w:rPr>
          <w:rFonts w:asciiTheme="majorHAnsi" w:hAnsiTheme="majorHAnsi" w:cstheme="majorHAnsi"/>
          <w:i/>
          <w:sz w:val="18"/>
          <w:szCs w:val="18"/>
        </w:rPr>
      </w:pPr>
      <w:r w:rsidRPr="007E6115">
        <w:rPr>
          <w:rFonts w:asciiTheme="majorHAnsi" w:hAnsiTheme="majorHAnsi" w:cstheme="majorHAnsi"/>
          <w:i/>
          <w:sz w:val="18"/>
          <w:szCs w:val="18"/>
        </w:rPr>
        <w:t xml:space="preserve">Informacje można uzyskać pod nr tel. 61 424-57-57  lub w siedzibie Urzędu Gminy Gniezno </w:t>
      </w:r>
      <w:r w:rsidR="007A10A5" w:rsidRPr="007E6115">
        <w:rPr>
          <w:rFonts w:asciiTheme="majorHAnsi" w:hAnsiTheme="majorHAnsi" w:cstheme="majorHAnsi"/>
          <w:i/>
          <w:sz w:val="18"/>
          <w:szCs w:val="18"/>
        </w:rPr>
        <w:br/>
      </w:r>
      <w:r w:rsidRPr="007E6115">
        <w:rPr>
          <w:rFonts w:asciiTheme="majorHAnsi" w:hAnsiTheme="majorHAnsi" w:cstheme="majorHAnsi"/>
          <w:i/>
          <w:sz w:val="18"/>
          <w:szCs w:val="18"/>
        </w:rPr>
        <w:t>pok. nr 19.</w:t>
      </w:r>
    </w:p>
    <w:p w14:paraId="538D5F24" w14:textId="77777777" w:rsidR="007C327A" w:rsidRPr="007E6115" w:rsidRDefault="007C327A" w:rsidP="007C327A">
      <w:pPr>
        <w:pStyle w:val="Tekstpodstawowy"/>
        <w:jc w:val="left"/>
        <w:rPr>
          <w:rFonts w:asciiTheme="majorHAnsi" w:hAnsiTheme="majorHAnsi" w:cstheme="majorHAnsi"/>
          <w:i/>
          <w:sz w:val="18"/>
          <w:szCs w:val="18"/>
        </w:rPr>
      </w:pPr>
    </w:p>
    <w:p w14:paraId="7187BB19" w14:textId="77777777" w:rsidR="00314C67" w:rsidRPr="007E6115" w:rsidRDefault="00314C67">
      <w:pPr>
        <w:rPr>
          <w:rFonts w:asciiTheme="majorHAnsi" w:hAnsiTheme="majorHAnsi" w:cstheme="majorHAnsi"/>
          <w:i/>
          <w:sz w:val="18"/>
          <w:szCs w:val="18"/>
        </w:rPr>
      </w:pPr>
    </w:p>
    <w:sectPr w:rsidR="00314C67" w:rsidRPr="007E6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13"/>
    <w:rsid w:val="0000250A"/>
    <w:rsid w:val="00064520"/>
    <w:rsid w:val="00134173"/>
    <w:rsid w:val="001E45F6"/>
    <w:rsid w:val="00235D54"/>
    <w:rsid w:val="002464DC"/>
    <w:rsid w:val="00257E88"/>
    <w:rsid w:val="002B320F"/>
    <w:rsid w:val="00314C67"/>
    <w:rsid w:val="003D5462"/>
    <w:rsid w:val="00445233"/>
    <w:rsid w:val="00481465"/>
    <w:rsid w:val="004B2A7A"/>
    <w:rsid w:val="005441EE"/>
    <w:rsid w:val="0058013A"/>
    <w:rsid w:val="005F0159"/>
    <w:rsid w:val="005F1245"/>
    <w:rsid w:val="006A2006"/>
    <w:rsid w:val="007525B9"/>
    <w:rsid w:val="00756923"/>
    <w:rsid w:val="00796F23"/>
    <w:rsid w:val="007A10A5"/>
    <w:rsid w:val="007C0841"/>
    <w:rsid w:val="007C327A"/>
    <w:rsid w:val="007D23F5"/>
    <w:rsid w:val="007E06AD"/>
    <w:rsid w:val="007E6115"/>
    <w:rsid w:val="007F244B"/>
    <w:rsid w:val="008175A0"/>
    <w:rsid w:val="008212FA"/>
    <w:rsid w:val="00844A20"/>
    <w:rsid w:val="008A0F2C"/>
    <w:rsid w:val="008B300F"/>
    <w:rsid w:val="008C1A13"/>
    <w:rsid w:val="008C74A4"/>
    <w:rsid w:val="008D54C4"/>
    <w:rsid w:val="008E4056"/>
    <w:rsid w:val="00934FE4"/>
    <w:rsid w:val="009609F3"/>
    <w:rsid w:val="00981067"/>
    <w:rsid w:val="009A6088"/>
    <w:rsid w:val="00A04C1D"/>
    <w:rsid w:val="00A715EC"/>
    <w:rsid w:val="00B50A40"/>
    <w:rsid w:val="00C4704F"/>
    <w:rsid w:val="00C80DB6"/>
    <w:rsid w:val="00C83FCB"/>
    <w:rsid w:val="00C87FFE"/>
    <w:rsid w:val="00C91D4C"/>
    <w:rsid w:val="00CC0890"/>
    <w:rsid w:val="00CE0C26"/>
    <w:rsid w:val="00D26746"/>
    <w:rsid w:val="00D7410C"/>
    <w:rsid w:val="00D761F6"/>
    <w:rsid w:val="00D94A0D"/>
    <w:rsid w:val="00DA4E68"/>
    <w:rsid w:val="00E4476B"/>
    <w:rsid w:val="00E70667"/>
    <w:rsid w:val="00E80DA9"/>
    <w:rsid w:val="00F16C74"/>
    <w:rsid w:val="00F36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A969"/>
  <w15:chartTrackingRefBased/>
  <w15:docId w15:val="{CA093AC8-B963-4500-BE50-5610CD6C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8C1A13"/>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8C1A13"/>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C1A1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8C1A13"/>
    <w:rPr>
      <w:rFonts w:ascii="Arial" w:eastAsia="Times New Roman" w:hAnsi="Arial" w:cs="Arial"/>
      <w:b/>
      <w:bCs/>
      <w:sz w:val="26"/>
      <w:szCs w:val="26"/>
      <w:lang w:eastAsia="pl-PL"/>
    </w:rPr>
  </w:style>
  <w:style w:type="table" w:styleId="Tabela-Siatka">
    <w:name w:val="Table Grid"/>
    <w:basedOn w:val="Standardowy"/>
    <w:uiPriority w:val="39"/>
    <w:rsid w:val="001E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7C327A"/>
    <w:pPr>
      <w:spacing w:after="0" w:line="240" w:lineRule="auto"/>
      <w:jc w:val="center"/>
    </w:pPr>
    <w:rPr>
      <w:rFonts w:ascii="Times New Roman" w:eastAsia="Times New Roman" w:hAnsi="Times New Roman" w:cs="Times New Roman"/>
      <w:spacing w:val="20"/>
      <w:sz w:val="24"/>
      <w:szCs w:val="24"/>
      <w:lang w:eastAsia="pl-PL"/>
    </w:rPr>
  </w:style>
  <w:style w:type="character" w:customStyle="1" w:styleId="TekstpodstawowyZnak">
    <w:name w:val="Tekst podstawowy Znak"/>
    <w:basedOn w:val="Domylnaczcionkaakapitu"/>
    <w:link w:val="Tekstpodstawowy"/>
    <w:rsid w:val="007C327A"/>
    <w:rPr>
      <w:rFonts w:ascii="Times New Roman" w:eastAsia="Times New Roman" w:hAnsi="Times New Roman" w:cs="Times New Roman"/>
      <w:spacing w:val="20"/>
      <w:sz w:val="24"/>
      <w:szCs w:val="24"/>
      <w:lang w:eastAsia="pl-PL"/>
    </w:rPr>
  </w:style>
  <w:style w:type="paragraph" w:styleId="Tekstdymka">
    <w:name w:val="Balloon Text"/>
    <w:basedOn w:val="Normalny"/>
    <w:link w:val="TekstdymkaZnak"/>
    <w:uiPriority w:val="99"/>
    <w:semiHidden/>
    <w:unhideWhenUsed/>
    <w:rsid w:val="007C32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3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455</Words>
  <Characters>2731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Gabryszak</dc:creator>
  <cp:keywords/>
  <dc:description/>
  <cp:lastModifiedBy>Sławomir Gabryszak</cp:lastModifiedBy>
  <cp:revision>4</cp:revision>
  <cp:lastPrinted>2026-04-01T08:24:00Z</cp:lastPrinted>
  <dcterms:created xsi:type="dcterms:W3CDTF">2026-04-01T07:09:00Z</dcterms:created>
  <dcterms:modified xsi:type="dcterms:W3CDTF">2026-04-01T08:26:00Z</dcterms:modified>
</cp:coreProperties>
</file>